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rPr>
          <w:rFonts w:ascii="Times New Roman" w:hAnsi="Times New Roman" w:cs="Times New Roman"/>
          <w:color w:val="000000" w:themeColor="text1"/>
          <w:sz w:val="20"/>
          <w:highlight w:val="none"/>
          <w:lang w:val="en-US"/>
          <w14:textFill>
            <w14:solidFill>
              <w14:schemeClr w14:val="tx1"/>
            </w14:solidFill>
          </w14:textFill>
        </w:rPr>
      </w:pPr>
      <w:r>
        <w:rPr>
          <w:rFonts w:hint="eastAsia" w:ascii="Times New Roman" w:hAnsi="Times New Roman" w:cs="Times New Roman"/>
          <w:color w:val="000000" w:themeColor="text1"/>
          <w:sz w:val="20"/>
          <w:highlight w:val="none"/>
          <w:lang w:val="en-US"/>
          <w14:textFill>
            <w14:solidFill>
              <w14:schemeClr w14:val="tx1"/>
            </w14:solidFill>
          </w14:textFill>
        </w:rPr>
        <w:t xml:space="preserve"> </w:t>
      </w:r>
    </w:p>
    <w:p>
      <w:pPr>
        <w:pStyle w:val="7"/>
        <w:ind w:left="0"/>
        <w:rPr>
          <w:rFonts w:ascii="Times New Roman" w:hAnsi="Times New Roman" w:cs="Times New Roman"/>
          <w:color w:val="000000" w:themeColor="text1"/>
          <w:sz w:val="20"/>
          <w:highlight w:val="none"/>
          <w14:textFill>
            <w14:solidFill>
              <w14:schemeClr w14:val="tx1"/>
            </w14:solidFill>
          </w14:textFill>
        </w:rPr>
      </w:pPr>
    </w:p>
    <w:p>
      <w:pPr>
        <w:pStyle w:val="7"/>
        <w:ind w:left="0"/>
        <w:rPr>
          <w:rFonts w:ascii="Times New Roman" w:hAnsi="Times New Roman" w:cs="Times New Roman"/>
          <w:color w:val="000000" w:themeColor="text1"/>
          <w:sz w:val="20"/>
          <w:highlight w:val="none"/>
          <w14:textFill>
            <w14:solidFill>
              <w14:schemeClr w14:val="tx1"/>
            </w14:solidFill>
          </w14:textFill>
        </w:rPr>
      </w:pPr>
    </w:p>
    <w:p>
      <w:pPr>
        <w:pStyle w:val="7"/>
        <w:ind w:left="0"/>
        <w:rPr>
          <w:rFonts w:ascii="Times New Roman" w:hAnsi="Times New Roman" w:cs="Times New Roman"/>
          <w:color w:val="000000" w:themeColor="text1"/>
          <w:sz w:val="20"/>
          <w:highlight w:val="none"/>
          <w14:textFill>
            <w14:solidFill>
              <w14:schemeClr w14:val="tx1"/>
            </w14:solidFill>
          </w14:textFill>
        </w:rPr>
      </w:pPr>
    </w:p>
    <w:p>
      <w:pPr>
        <w:pStyle w:val="7"/>
        <w:ind w:left="0"/>
        <w:rPr>
          <w:rFonts w:ascii="Times New Roman" w:hAnsi="Times New Roman" w:cs="Times New Roman"/>
          <w:color w:val="000000" w:themeColor="text1"/>
          <w:sz w:val="20"/>
          <w:highlight w:val="none"/>
          <w14:textFill>
            <w14:solidFill>
              <w14:schemeClr w14:val="tx1"/>
            </w14:solidFill>
          </w14:textFill>
        </w:rPr>
      </w:pPr>
    </w:p>
    <w:p>
      <w:pPr>
        <w:pStyle w:val="7"/>
        <w:ind w:left="0"/>
        <w:rPr>
          <w:rFonts w:ascii="Times New Roman" w:hAnsi="Times New Roman" w:cs="Times New Roman"/>
          <w:color w:val="000000" w:themeColor="text1"/>
          <w:sz w:val="20"/>
          <w:highlight w:val="none"/>
          <w:lang w:val="en-US"/>
          <w14:textFill>
            <w14:solidFill>
              <w14:schemeClr w14:val="tx1"/>
            </w14:solidFill>
          </w14:textFill>
        </w:rPr>
      </w:pPr>
      <w:r>
        <w:rPr>
          <w:rFonts w:ascii="Times New Roman" w:hAnsi="Times New Roman" w:cs="Times New Roman"/>
          <w:color w:val="000000" w:themeColor="text1"/>
          <w:sz w:val="20"/>
          <w:highlight w:val="none"/>
          <w:lang w:val="en-US"/>
          <w14:textFill>
            <w14:solidFill>
              <w14:schemeClr w14:val="tx1"/>
            </w14:solidFill>
          </w14:textFill>
        </w:rPr>
        <w:t xml:space="preserve"> </w:t>
      </w:r>
    </w:p>
    <w:p>
      <w:pPr>
        <w:pStyle w:val="7"/>
        <w:ind w:left="0"/>
        <w:rPr>
          <w:rFonts w:ascii="Times New Roman" w:hAnsi="Times New Roman" w:cs="Times New Roman"/>
          <w:color w:val="000000" w:themeColor="text1"/>
          <w:sz w:val="20"/>
          <w:highlight w:val="none"/>
          <w14:textFill>
            <w14:solidFill>
              <w14:schemeClr w14:val="tx1"/>
            </w14:solidFill>
          </w14:textFill>
        </w:rPr>
      </w:pPr>
    </w:p>
    <w:p>
      <w:pPr>
        <w:pStyle w:val="7"/>
        <w:spacing w:before="6"/>
        <w:ind w:left="0"/>
        <w:rPr>
          <w:rFonts w:ascii="Times New Roman" w:hAnsi="Times New Roman" w:cs="Times New Roman"/>
          <w:color w:val="000000" w:themeColor="text1"/>
          <w:sz w:val="24"/>
          <w:highlight w:val="none"/>
          <w14:textFill>
            <w14:solidFill>
              <w14:schemeClr w14:val="tx1"/>
            </w14:solidFill>
          </w14:textFill>
        </w:rPr>
      </w:pPr>
    </w:p>
    <w:p>
      <w:pPr>
        <w:jc w:val="center"/>
        <w:rPr>
          <w:rFonts w:hint="eastAsia" w:ascii="Times New Roman" w:hAnsi="Times New Roman" w:eastAsia="华文中宋" w:cs="Times New Roman"/>
          <w:color w:val="000000" w:themeColor="text1"/>
          <w:sz w:val="72"/>
          <w:szCs w:val="72"/>
          <w:highlight w:val="none"/>
          <w:lang w:val="en-US" w:eastAsia="zh-CN"/>
          <w14:textFill>
            <w14:solidFill>
              <w14:schemeClr w14:val="tx1"/>
            </w14:solidFill>
          </w14:textFill>
        </w:rPr>
      </w:pPr>
      <w:r>
        <w:rPr>
          <w:rFonts w:hint="eastAsia" w:ascii="Times New Roman" w:hAnsi="Times New Roman" w:eastAsia="华文中宋" w:cs="Times New Roman"/>
          <w:color w:val="000000" w:themeColor="text1"/>
          <w:sz w:val="72"/>
          <w:szCs w:val="72"/>
          <w:highlight w:val="none"/>
          <w:lang w:val="en-US"/>
          <w14:textFill>
            <w14:solidFill>
              <w14:schemeClr w14:val="tx1"/>
            </w14:solidFill>
          </w14:textFill>
        </w:rPr>
        <w:t>广东联盟</w:t>
      </w:r>
      <w:r>
        <w:rPr>
          <w:rFonts w:hint="eastAsia" w:ascii="Times New Roman" w:hAnsi="Times New Roman" w:eastAsia="华文中宋" w:cs="Times New Roman"/>
          <w:color w:val="000000" w:themeColor="text1"/>
          <w:sz w:val="72"/>
          <w:szCs w:val="72"/>
          <w:highlight w:val="none"/>
          <w:lang w:val="en-US" w:eastAsia="zh-CN"/>
          <w14:textFill>
            <w14:solidFill>
              <w14:schemeClr w14:val="tx1"/>
            </w14:solidFill>
          </w14:textFill>
        </w:rPr>
        <w:t>清开灵等</w:t>
      </w:r>
      <w:r>
        <w:rPr>
          <w:rFonts w:hint="eastAsia" w:ascii="Times New Roman" w:hAnsi="Times New Roman" w:eastAsia="华文中宋" w:cs="Times New Roman"/>
          <w:color w:val="000000" w:themeColor="text1"/>
          <w:sz w:val="72"/>
          <w:szCs w:val="72"/>
          <w:highlight w:val="none"/>
          <w:lang w:val="en-US"/>
          <w14:textFill>
            <w14:solidFill>
              <w14:schemeClr w14:val="tx1"/>
            </w14:solidFill>
          </w14:textFill>
        </w:rPr>
        <w:t>58个药</w:t>
      </w:r>
      <w:r>
        <w:rPr>
          <w:rFonts w:hint="eastAsia" w:ascii="Times New Roman" w:hAnsi="Times New Roman" w:eastAsia="华文中宋" w:cs="Times New Roman"/>
          <w:color w:val="000000" w:themeColor="text1"/>
          <w:sz w:val="72"/>
          <w:szCs w:val="72"/>
          <w:highlight w:val="none"/>
          <w:lang w:val="en-US" w:eastAsia="zh-CN"/>
          <w14:textFill>
            <w14:solidFill>
              <w14:schemeClr w14:val="tx1"/>
            </w14:solidFill>
          </w14:textFill>
        </w:rPr>
        <w:t>品</w:t>
      </w:r>
    </w:p>
    <w:p>
      <w:pPr>
        <w:jc w:val="center"/>
        <w:rPr>
          <w:rFonts w:ascii="Times New Roman" w:hAnsi="Times New Roman" w:eastAsia="华文中宋" w:cs="Times New Roman"/>
          <w:color w:val="000000" w:themeColor="text1"/>
          <w:sz w:val="72"/>
          <w:szCs w:val="72"/>
          <w:highlight w:val="none"/>
          <w14:textFill>
            <w14:solidFill>
              <w14:schemeClr w14:val="tx1"/>
            </w14:solidFill>
          </w14:textFill>
        </w:rPr>
      </w:pPr>
      <w:r>
        <w:rPr>
          <w:rFonts w:ascii="Times New Roman" w:hAnsi="Times New Roman" w:eastAsia="华文中宋" w:cs="Times New Roman"/>
          <w:color w:val="000000" w:themeColor="text1"/>
          <w:sz w:val="72"/>
          <w:szCs w:val="72"/>
          <w:highlight w:val="none"/>
          <w14:textFill>
            <w14:solidFill>
              <w14:schemeClr w14:val="tx1"/>
            </w14:solidFill>
          </w14:textFill>
        </w:rPr>
        <w:t>集</w:t>
      </w:r>
      <w:r>
        <w:rPr>
          <w:rFonts w:ascii="Times New Roman" w:hAnsi="Times New Roman" w:eastAsia="华文中宋" w:cs="Times New Roman"/>
          <w:color w:val="000000" w:themeColor="text1"/>
          <w:sz w:val="72"/>
          <w:szCs w:val="72"/>
          <w:highlight w:val="none"/>
          <w:lang w:val="en-US"/>
          <w14:textFill>
            <w14:solidFill>
              <w14:schemeClr w14:val="tx1"/>
            </w14:solidFill>
          </w14:textFill>
        </w:rPr>
        <w:t>团带量</w:t>
      </w:r>
      <w:r>
        <w:rPr>
          <w:rFonts w:ascii="Times New Roman" w:hAnsi="Times New Roman" w:eastAsia="华文中宋" w:cs="Times New Roman"/>
          <w:color w:val="000000" w:themeColor="text1"/>
          <w:sz w:val="72"/>
          <w:szCs w:val="72"/>
          <w:highlight w:val="none"/>
          <w14:textFill>
            <w14:solidFill>
              <w14:schemeClr w14:val="tx1"/>
            </w14:solidFill>
          </w14:textFill>
        </w:rPr>
        <w:t>采购文件</w:t>
      </w:r>
    </w:p>
    <w:p>
      <w:pPr>
        <w:pStyle w:val="2"/>
        <w:rPr>
          <w:highlight w:val="none"/>
        </w:rPr>
      </w:pPr>
    </w:p>
    <w:p>
      <w:pPr>
        <w:pStyle w:val="2"/>
        <w:jc w:val="center"/>
        <w:rPr>
          <w:rFonts w:hint="eastAsia" w:ascii="楷体" w:hAnsi="楷体" w:eastAsia="楷体" w:cs="楷体"/>
          <w:b/>
          <w:bCs/>
          <w:sz w:val="48"/>
          <w:szCs w:val="48"/>
          <w:highlight w:val="none"/>
          <w:lang w:eastAsia="zh-CN"/>
        </w:rPr>
      </w:pPr>
      <w:r>
        <w:rPr>
          <w:rFonts w:hint="eastAsia" w:ascii="楷体" w:hAnsi="楷体" w:eastAsia="楷体" w:cs="楷体"/>
          <w:b/>
          <w:bCs/>
          <w:color w:val="000000" w:themeColor="text1"/>
          <w:sz w:val="48"/>
          <w:szCs w:val="48"/>
          <w:highlight w:val="none"/>
          <w:lang w:eastAsia="zh-CN"/>
          <w14:textFill>
            <w14:solidFill>
              <w14:schemeClr w14:val="tx1"/>
            </w14:solidFill>
          </w14:textFill>
        </w:rPr>
        <w:t>（征求意见稿）</w:t>
      </w:r>
    </w:p>
    <w:p>
      <w:pPr>
        <w:pStyle w:val="7"/>
        <w:ind w:left="0"/>
        <w:rPr>
          <w:rFonts w:ascii="Times New Roman" w:hAnsi="Times New Roman" w:cs="Times New Roman"/>
          <w:color w:val="000000" w:themeColor="text1"/>
          <w:sz w:val="110"/>
          <w:highlight w:val="none"/>
          <w14:textFill>
            <w14:solidFill>
              <w14:schemeClr w14:val="tx1"/>
            </w14:solidFill>
          </w14:textFill>
        </w:rPr>
      </w:pPr>
    </w:p>
    <w:p>
      <w:pPr>
        <w:pStyle w:val="7"/>
        <w:ind w:left="0"/>
        <w:rPr>
          <w:rFonts w:ascii="Times New Roman" w:hAnsi="Times New Roman" w:cs="Times New Roman"/>
          <w:color w:val="000000" w:themeColor="text1"/>
          <w:sz w:val="110"/>
          <w:highlight w:val="none"/>
          <w14:textFill>
            <w14:solidFill>
              <w14:schemeClr w14:val="tx1"/>
            </w14:solidFill>
          </w14:textFill>
        </w:rPr>
      </w:pPr>
    </w:p>
    <w:p>
      <w:pPr>
        <w:spacing w:line="360" w:lineRule="auto"/>
        <w:jc w:val="center"/>
        <w:rPr>
          <w:rFonts w:hint="eastAsia" w:ascii="Times New Roman" w:hAnsi="Times New Roman" w:eastAsia="华文中宋" w:cs="Times New Roman"/>
          <w:color w:val="000000" w:themeColor="text1"/>
          <w:sz w:val="32"/>
          <w:highlight w:val="none"/>
          <w:lang w:val="en-US" w:eastAsia="zh-CN"/>
          <w14:textFill>
            <w14:solidFill>
              <w14:schemeClr w14:val="tx1"/>
            </w14:solidFill>
          </w14:textFill>
        </w:rPr>
      </w:pPr>
      <w:r>
        <w:rPr>
          <w:rFonts w:ascii="Times New Roman" w:hAnsi="Times New Roman" w:eastAsia="华文中宋" w:cs="Times New Roman"/>
          <w:color w:val="000000" w:themeColor="text1"/>
          <w:sz w:val="32"/>
          <w:highlight w:val="none"/>
          <w14:textFill>
            <w14:solidFill>
              <w14:schemeClr w14:val="tx1"/>
            </w14:solidFill>
          </w14:textFill>
        </w:rPr>
        <w:t>采购文件编号：GDYJYPDL20210</w:t>
      </w:r>
      <w:r>
        <w:rPr>
          <w:rFonts w:hint="eastAsia" w:ascii="Times New Roman" w:hAnsi="Times New Roman" w:eastAsia="华文中宋" w:cs="Times New Roman"/>
          <w:color w:val="000000" w:themeColor="text1"/>
          <w:sz w:val="32"/>
          <w:highlight w:val="none"/>
          <w:lang w:val="en-US" w:eastAsia="zh-CN"/>
          <w14:textFill>
            <w14:solidFill>
              <w14:schemeClr w14:val="tx1"/>
            </w14:solidFill>
          </w14:textFill>
        </w:rPr>
        <w:t>3</w:t>
      </w:r>
    </w:p>
    <w:p>
      <w:pPr>
        <w:pStyle w:val="7"/>
        <w:ind w:left="0"/>
        <w:rPr>
          <w:rFonts w:ascii="Times New Roman" w:hAnsi="Times New Roman" w:cs="Times New Roman"/>
          <w:color w:val="000000" w:themeColor="text1"/>
          <w:sz w:val="42"/>
          <w:highlight w:val="none"/>
          <w14:textFill>
            <w14:solidFill>
              <w14:schemeClr w14:val="tx1"/>
            </w14:solidFill>
          </w14:textFill>
        </w:rPr>
      </w:pPr>
    </w:p>
    <w:p>
      <w:pPr>
        <w:pStyle w:val="7"/>
        <w:ind w:left="0"/>
        <w:rPr>
          <w:rFonts w:ascii="Times New Roman" w:hAnsi="Times New Roman" w:cs="Times New Roman"/>
          <w:color w:val="000000" w:themeColor="text1"/>
          <w:sz w:val="42"/>
          <w:highlight w:val="none"/>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highlight w:val="none"/>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highlight w:val="none"/>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highlight w:val="none"/>
          <w14:textFill>
            <w14:solidFill>
              <w14:schemeClr w14:val="tx1"/>
            </w14:solidFill>
          </w14:textFill>
        </w:rPr>
      </w:pPr>
      <w:r>
        <w:rPr>
          <w:rFonts w:ascii="Times New Roman" w:hAnsi="Times New Roman" w:eastAsia="华文中宋" w:cs="Times New Roman"/>
          <w:color w:val="000000" w:themeColor="text1"/>
          <w:sz w:val="32"/>
          <w:highlight w:val="none"/>
          <w14:textFill>
            <w14:solidFill>
              <w14:schemeClr w14:val="tx1"/>
            </w14:solidFill>
          </w14:textFill>
        </w:rPr>
        <w:t>广东省药品交易中心</w:t>
      </w:r>
    </w:p>
    <w:p>
      <w:pPr>
        <w:spacing w:line="360" w:lineRule="auto"/>
        <w:jc w:val="center"/>
        <w:rPr>
          <w:rFonts w:ascii="Times New Roman" w:hAnsi="Times New Roman" w:eastAsia="华文中宋" w:cs="Times New Roman"/>
          <w:color w:val="000000" w:themeColor="text1"/>
          <w:sz w:val="32"/>
          <w:highlight w:val="none"/>
          <w14:textFill>
            <w14:solidFill>
              <w14:schemeClr w14:val="tx1"/>
            </w14:solidFill>
          </w14:textFill>
        </w:rPr>
      </w:pPr>
      <w:r>
        <w:rPr>
          <w:rFonts w:ascii="Times New Roman" w:hAnsi="Times New Roman" w:eastAsia="华文中宋" w:cs="Times New Roman"/>
          <w:color w:val="000000" w:themeColor="text1"/>
          <w:sz w:val="32"/>
          <w:highlight w:val="none"/>
          <w14:textFill>
            <w14:solidFill>
              <w14:schemeClr w14:val="tx1"/>
            </w14:solidFill>
          </w14:textFill>
        </w:rPr>
        <w:t>2021年</w:t>
      </w:r>
      <w:r>
        <w:rPr>
          <w:rFonts w:ascii="Times New Roman" w:hAnsi="Times New Roman" w:eastAsia="华文中宋" w:cs="Times New Roman"/>
          <w:color w:val="000000" w:themeColor="text1"/>
          <w:sz w:val="32"/>
          <w:highlight w:val="none"/>
          <w:lang w:val="en-US"/>
          <w14:textFill>
            <w14:solidFill>
              <w14:schemeClr w14:val="tx1"/>
            </w14:solidFill>
          </w14:textFill>
        </w:rPr>
        <w:t>9</w:t>
      </w:r>
      <w:r>
        <w:rPr>
          <w:rFonts w:ascii="Times New Roman" w:hAnsi="Times New Roman" w:eastAsia="华文中宋" w:cs="Times New Roman"/>
          <w:color w:val="000000" w:themeColor="text1"/>
          <w:sz w:val="32"/>
          <w:highlight w:val="none"/>
          <w14:textFill>
            <w14:solidFill>
              <w14:schemeClr w14:val="tx1"/>
            </w14:solidFill>
          </w14:textFill>
        </w:rPr>
        <w:t>月</w:t>
      </w:r>
    </w:p>
    <w:p>
      <w:pPr>
        <w:rPr>
          <w:rFonts w:ascii="Times New Roman" w:hAnsi="Times New Roman" w:eastAsia="华文中宋" w:cs="Times New Roman"/>
          <w:color w:val="000000" w:themeColor="text1"/>
          <w:sz w:val="32"/>
          <w:highlight w:val="none"/>
          <w14:textFill>
            <w14:solidFill>
              <w14:schemeClr w14:val="tx1"/>
            </w14:solidFill>
          </w14:textFill>
        </w:rPr>
      </w:pPr>
      <w:r>
        <w:rPr>
          <w:rFonts w:ascii="Times New Roman" w:hAnsi="Times New Roman" w:eastAsia="华文中宋" w:cs="Times New Roman"/>
          <w:color w:val="000000" w:themeColor="text1"/>
          <w:sz w:val="32"/>
          <w:highlight w:val="none"/>
          <w14:textFill>
            <w14:solidFill>
              <w14:schemeClr w14:val="tx1"/>
            </w14:solidFill>
          </w14:textFill>
        </w:rPr>
        <w:br w:type="page"/>
      </w:r>
    </w:p>
    <w:p>
      <w:pPr>
        <w:pStyle w:val="2"/>
        <w:rPr>
          <w:rFonts w:hint="default" w:ascii="Times New Roman" w:hAnsi="Times New Roman"/>
          <w:color w:val="000000" w:themeColor="text1"/>
          <w:highlight w:val="none"/>
          <w14:textFill>
            <w14:solidFill>
              <w14:schemeClr w14:val="tx1"/>
            </w14:solidFill>
          </w14:textFill>
        </w:rPr>
      </w:pPr>
    </w:p>
    <w:p>
      <w:pPr>
        <w:pStyle w:val="12"/>
        <w:tabs>
          <w:tab w:val="right" w:leader="dot" w:pos="9836"/>
        </w:tabs>
        <w:spacing w:line="480" w:lineRule="exact"/>
        <w:ind w:left="440"/>
        <w:jc w:val="center"/>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黑体" w:cs="Times New Roman"/>
          <w:color w:val="000000" w:themeColor="text1"/>
          <w:sz w:val="44"/>
          <w:szCs w:val="44"/>
          <w:highlight w:val="none"/>
          <w14:textFill>
            <w14:solidFill>
              <w14:schemeClr w14:val="tx1"/>
            </w14:solidFill>
          </w14:textFill>
        </w:rPr>
        <w:t>目</w:t>
      </w:r>
      <w:r>
        <w:rPr>
          <w:rFonts w:ascii="Times New Roman" w:hAnsi="Times New Roman" w:eastAsia="黑体" w:cs="Times New Roman"/>
          <w:color w:val="000000" w:themeColor="text1"/>
          <w:sz w:val="44"/>
          <w:szCs w:val="44"/>
          <w:highlight w:val="none"/>
          <w:lang w:val="en-US"/>
          <w14:textFill>
            <w14:solidFill>
              <w14:schemeClr w14:val="tx1"/>
            </w14:solidFill>
          </w14:textFill>
        </w:rPr>
        <w:t xml:space="preserve">  </w:t>
      </w:r>
      <w:r>
        <w:rPr>
          <w:rFonts w:ascii="Times New Roman" w:hAnsi="Times New Roman" w:eastAsia="黑体" w:cs="Times New Roman"/>
          <w:color w:val="000000" w:themeColor="text1"/>
          <w:sz w:val="44"/>
          <w:szCs w:val="44"/>
          <w:highlight w:val="none"/>
          <w14:textFill>
            <w14:solidFill>
              <w14:schemeClr w14:val="tx1"/>
            </w14:solidFill>
          </w14:textFill>
        </w:rPr>
        <w:t>录</w:t>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TOC \o "1-2" \h \u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p>
    <w:p>
      <w:pPr>
        <w:pStyle w:val="11"/>
        <w:tabs>
          <w:tab w:val="right" w:leader="dot" w:pos="9836"/>
        </w:tabs>
        <w:spacing w:line="360" w:lineRule="exact"/>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"_Toc7563" </w:instrText>
      </w:r>
      <w:r>
        <w:rPr>
          <w:highlight w:val="none"/>
        </w:rPr>
        <w:fldChar w:fldCharType="separate"/>
      </w:r>
      <w:r>
        <w:rPr>
          <w:rFonts w:ascii="Times New Roman" w:hAnsi="Times New Roman" w:cs="Times New Roman"/>
          <w:b/>
          <w:bCs/>
          <w:color w:val="000000" w:themeColor="text1"/>
          <w:sz w:val="24"/>
          <w:szCs w:val="24"/>
          <w:highlight w:val="none"/>
          <w:lang w:val="en-US"/>
          <w14:textFill>
            <w14:solidFill>
              <w14:schemeClr w14:val="tx1"/>
            </w14:solidFill>
          </w14:textFill>
        </w:rPr>
        <w:t>第一部分 采购邀请</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-1</w:t>
      </w:r>
      <w:r>
        <w:rPr>
          <w:rFonts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"_Toc16678" </w:instrText>
      </w:r>
      <w:r>
        <w:rPr>
          <w:highlight w:val="none"/>
        </w:rPr>
        <w:fldChar w:fldCharType="separate"/>
      </w:r>
      <w:r>
        <w:rPr>
          <w:rFonts w:ascii="Times New Roman" w:hAnsi="Times New Roman" w:cs="Times New Roman"/>
          <w:color w:val="000000" w:themeColor="text1"/>
          <w:sz w:val="24"/>
          <w:szCs w:val="24"/>
          <w:highlight w:val="none"/>
          <w:lang w:val="en-US"/>
          <w14:textFill>
            <w14:solidFill>
              <w14:schemeClr w14:val="tx1"/>
            </w14:solidFill>
          </w14:textFill>
        </w:rPr>
        <w:t>一、参与采购主体</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-1</w:t>
      </w:r>
      <w:r>
        <w:rPr>
          <w:rFonts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"_Toc26433" </w:instrText>
      </w:r>
      <w:r>
        <w:rPr>
          <w:highlight w:val="none"/>
        </w:rPr>
        <w:fldChar w:fldCharType="separate"/>
      </w:r>
      <w:r>
        <w:rPr>
          <w:rFonts w:ascii="Times New Roman" w:hAnsi="Times New Roman" w:cs="Times New Roman"/>
          <w:color w:val="000000" w:themeColor="text1"/>
          <w:sz w:val="24"/>
          <w:szCs w:val="24"/>
          <w:highlight w:val="none"/>
          <w:lang w:val="en-US"/>
          <w14:textFill>
            <w14:solidFill>
              <w14:schemeClr w14:val="tx1"/>
            </w14:solidFill>
          </w14:textFill>
        </w:rPr>
        <w:t>二、品种范围</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-1</w:t>
      </w:r>
      <w:r>
        <w:rPr>
          <w:rFonts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"_Toc18524" </w:instrText>
      </w:r>
      <w:r>
        <w:rPr>
          <w:highlight w:val="none"/>
        </w:rPr>
        <w:fldChar w:fldCharType="separate"/>
      </w:r>
      <w:r>
        <w:rPr>
          <w:rFonts w:ascii="Times New Roman" w:hAnsi="Times New Roman" w:cs="Times New Roman"/>
          <w:color w:val="000000" w:themeColor="text1"/>
          <w:sz w:val="24"/>
          <w:szCs w:val="24"/>
          <w:highlight w:val="none"/>
          <w:lang w:val="en-US"/>
          <w14:textFill>
            <w14:solidFill>
              <w14:schemeClr w14:val="tx1"/>
            </w14:solidFill>
          </w14:textFill>
        </w:rPr>
        <w:t>三、采购周期和采购协议</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-1</w:t>
      </w:r>
      <w:r>
        <w:rPr>
          <w:rFonts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"_Toc22582" </w:instrText>
      </w:r>
      <w:r>
        <w:rPr>
          <w:highlight w:val="none"/>
        </w:rPr>
        <w:fldChar w:fldCharType="separate"/>
      </w:r>
      <w:r>
        <w:rPr>
          <w:rFonts w:ascii="Times New Roman" w:hAnsi="Times New Roman" w:cs="Times New Roman"/>
          <w:color w:val="000000" w:themeColor="text1"/>
          <w:sz w:val="24"/>
          <w:szCs w:val="24"/>
          <w:highlight w:val="none"/>
          <w:lang w:val="en-US"/>
          <w14:textFill>
            <w14:solidFill>
              <w14:schemeClr w14:val="tx1"/>
            </w14:solidFill>
          </w14:textFill>
        </w:rPr>
        <w:t>四、申报资格</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1</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"_Toc18136" </w:instrText>
      </w:r>
      <w:r>
        <w:rPr>
          <w:highlight w:val="none"/>
        </w:rPr>
        <w:fldChar w:fldCharType="separate"/>
      </w:r>
      <w:r>
        <w:rPr>
          <w:rFonts w:ascii="Times New Roman" w:hAnsi="Times New Roman" w:cs="Times New Roman"/>
          <w:color w:val="000000" w:themeColor="text1"/>
          <w:sz w:val="24"/>
          <w:szCs w:val="24"/>
          <w:highlight w:val="none"/>
          <w:lang w:val="en-US"/>
          <w14:textFill>
            <w14:solidFill>
              <w14:schemeClr w14:val="tx1"/>
            </w14:solidFill>
          </w14:textFill>
        </w:rPr>
        <w:t>五、采购产品清单</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"_Toc14670" </w:instrText>
      </w:r>
      <w:r>
        <w:rPr>
          <w:highlight w:val="none"/>
        </w:rPr>
        <w:fldChar w:fldCharType="separate"/>
      </w:r>
      <w:r>
        <w:rPr>
          <w:rFonts w:ascii="Times New Roman" w:hAnsi="Times New Roman" w:cs="Times New Roman"/>
          <w:color w:val="000000" w:themeColor="text1"/>
          <w:sz w:val="24"/>
          <w:szCs w:val="24"/>
          <w:highlight w:val="none"/>
          <w:lang w:val="en-US"/>
          <w14:textFill>
            <w14:solidFill>
              <w14:schemeClr w14:val="tx1"/>
            </w14:solidFill>
          </w14:textFill>
        </w:rPr>
        <w:t>六、采购执行说明</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"_Toc7178" </w:instrText>
      </w:r>
      <w:r>
        <w:rPr>
          <w:highlight w:val="none"/>
        </w:rPr>
        <w:fldChar w:fldCharType="separate"/>
      </w:r>
      <w:r>
        <w:rPr>
          <w:rFonts w:ascii="Times New Roman" w:hAnsi="Times New Roman" w:cs="Times New Roman"/>
          <w:color w:val="000000" w:themeColor="text1"/>
          <w:sz w:val="24"/>
          <w:szCs w:val="24"/>
          <w:highlight w:val="none"/>
          <w:lang w:val="en-US"/>
          <w14:textFill>
            <w14:solidFill>
              <w14:schemeClr w14:val="tx1"/>
            </w14:solidFill>
          </w14:textFill>
        </w:rPr>
        <w:t>七、采购文件获取方式</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"_Toc7178" </w:instrText>
      </w:r>
      <w:r>
        <w:rPr>
          <w:highlight w:val="none"/>
        </w:rPr>
        <w:fldChar w:fldCharType="separate"/>
      </w:r>
      <w:r>
        <w:rPr>
          <w:rFonts w:ascii="Times New Roman" w:hAnsi="Times New Roman" w:cs="Times New Roman"/>
          <w:color w:val="000000" w:themeColor="text1"/>
          <w:sz w:val="24"/>
          <w:szCs w:val="24"/>
          <w:highlight w:val="none"/>
          <w:lang w:val="en-US"/>
          <w14:textFill>
            <w14:solidFill>
              <w14:schemeClr w14:val="tx1"/>
            </w14:solidFill>
          </w14:textFill>
        </w:rPr>
        <w:t>八、报名方式和截止时间</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"_Toc9710" </w:instrText>
      </w:r>
      <w:r>
        <w:rPr>
          <w:highlight w:val="none"/>
        </w:rPr>
        <w:fldChar w:fldCharType="separate"/>
      </w:r>
      <w:r>
        <w:rPr>
          <w:rFonts w:ascii="Times New Roman" w:hAnsi="Times New Roman" w:cs="Times New Roman"/>
          <w:color w:val="000000" w:themeColor="text1"/>
          <w:sz w:val="24"/>
          <w:szCs w:val="24"/>
          <w:highlight w:val="none"/>
          <w:lang w:val="en-US"/>
          <w14:textFill>
            <w14:solidFill>
              <w14:schemeClr w14:val="tx1"/>
            </w14:solidFill>
          </w14:textFill>
        </w:rPr>
        <w:t>九、报价安排和时间</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"_Toc4266" </w:instrText>
      </w:r>
      <w:r>
        <w:rPr>
          <w:highlight w:val="none"/>
        </w:rPr>
        <w:fldChar w:fldCharType="separate"/>
      </w:r>
      <w:r>
        <w:rPr>
          <w:rFonts w:ascii="Times New Roman" w:hAnsi="Times New Roman" w:cs="Times New Roman"/>
          <w:color w:val="000000" w:themeColor="text1"/>
          <w:sz w:val="24"/>
          <w:szCs w:val="24"/>
          <w:highlight w:val="none"/>
          <w:lang w:val="en-US"/>
          <w14:textFill>
            <w14:solidFill>
              <w14:schemeClr w14:val="tx1"/>
            </w14:solidFill>
          </w14:textFill>
        </w:rPr>
        <w:t>十、信息公开方式</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4</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"_Toc6958" </w:instrText>
      </w:r>
      <w:r>
        <w:rPr>
          <w:highlight w:val="none"/>
        </w:rPr>
        <w:fldChar w:fldCharType="separate"/>
      </w:r>
      <w:r>
        <w:rPr>
          <w:rFonts w:ascii="Times New Roman" w:hAnsi="Times New Roman" w:cs="Times New Roman"/>
          <w:color w:val="000000" w:themeColor="text1"/>
          <w:sz w:val="24"/>
          <w:szCs w:val="24"/>
          <w:highlight w:val="none"/>
          <w:lang w:val="en-US"/>
          <w14:textFill>
            <w14:solidFill>
              <w14:schemeClr w14:val="tx1"/>
            </w14:solidFill>
          </w14:textFill>
        </w:rPr>
        <w:t>十一、联系方式</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"_Toc12204" </w:instrText>
      </w:r>
      <w:r>
        <w:rPr>
          <w:highlight w:val="none"/>
        </w:rPr>
        <w:fldChar w:fldCharType="separate"/>
      </w:r>
      <w:r>
        <w:rPr>
          <w:rFonts w:ascii="Times New Roman" w:hAnsi="Times New Roman" w:cs="Times New Roman"/>
          <w:color w:val="000000" w:themeColor="text1"/>
          <w:sz w:val="24"/>
          <w:szCs w:val="24"/>
          <w:highlight w:val="none"/>
          <w:lang w:val="en-US"/>
          <w14:textFill>
            <w14:solidFill>
              <w14:schemeClr w14:val="tx1"/>
            </w14:solidFill>
          </w14:textFill>
        </w:rPr>
        <w:t>十二、其他</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1"/>
        <w:tabs>
          <w:tab w:val="right" w:leader="dot" w:pos="9836"/>
        </w:tabs>
        <w:spacing w:line="360" w:lineRule="exact"/>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"_Toc23482" </w:instrText>
      </w:r>
      <w:r>
        <w:rPr>
          <w:highlight w:val="none"/>
        </w:rPr>
        <w:fldChar w:fldCharType="separate"/>
      </w:r>
      <w:r>
        <w:rPr>
          <w:rFonts w:ascii="Times New Roman" w:hAnsi="Times New Roman" w:cs="Times New Roman"/>
          <w:b/>
          <w:bCs/>
          <w:color w:val="000000" w:themeColor="text1"/>
          <w:sz w:val="24"/>
          <w:szCs w:val="24"/>
          <w:highlight w:val="none"/>
          <w14:textFill>
            <w14:solidFill>
              <w14:schemeClr w14:val="tx1"/>
            </w14:solidFill>
          </w14:textFill>
        </w:rPr>
        <w:t>第二部分 申报企业须知</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6</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"_Toc29906" </w:instrText>
      </w:r>
      <w:r>
        <w:rPr>
          <w:highlight w:val="none"/>
        </w:rPr>
        <w:fldChar w:fldCharType="separate"/>
      </w:r>
      <w:r>
        <w:rPr>
          <w:rFonts w:ascii="Times New Roman" w:hAnsi="Times New Roman" w:cs="Times New Roman"/>
          <w:color w:val="000000" w:themeColor="text1"/>
          <w:sz w:val="24"/>
          <w:szCs w:val="24"/>
          <w:highlight w:val="none"/>
          <w14:textFill>
            <w14:solidFill>
              <w14:schemeClr w14:val="tx1"/>
            </w14:solidFill>
          </w14:textFill>
        </w:rPr>
        <w:t>一、集团带量采购当事人</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6</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"_Toc11647" </w:instrText>
      </w:r>
      <w:r>
        <w:rPr>
          <w:highlight w:val="none"/>
        </w:rPr>
        <w:fldChar w:fldCharType="separate"/>
      </w:r>
      <w:r>
        <w:rPr>
          <w:rFonts w:ascii="Times New Roman" w:hAnsi="Times New Roman" w:cs="Times New Roman"/>
          <w:color w:val="000000" w:themeColor="text1"/>
          <w:sz w:val="24"/>
          <w:szCs w:val="24"/>
          <w:highlight w:val="none"/>
          <w14:textFill>
            <w14:solidFill>
              <w14:schemeClr w14:val="tx1"/>
            </w14:solidFill>
          </w14:textFill>
        </w:rPr>
        <w:t>二、申报材料</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7</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"_Toc3599" </w:instrText>
      </w:r>
      <w:r>
        <w:rPr>
          <w:highlight w:val="none"/>
        </w:rPr>
        <w:fldChar w:fldCharType="separate"/>
      </w:r>
      <w:r>
        <w:rPr>
          <w:rFonts w:ascii="Times New Roman" w:hAnsi="Times New Roman" w:cs="Times New Roman"/>
          <w:color w:val="000000" w:themeColor="text1"/>
          <w:sz w:val="24"/>
          <w:szCs w:val="24"/>
          <w:highlight w:val="none"/>
          <w14:textFill>
            <w14:solidFill>
              <w14:schemeClr w14:val="tx1"/>
            </w14:solidFill>
          </w14:textFill>
        </w:rPr>
        <w:t>三、</w:t>
      </w:r>
      <w:r>
        <w:rPr>
          <w:rFonts w:hint="eastAsia" w:ascii="Times New Roman" w:hAnsi="Times New Roman" w:cs="Times New Roman"/>
          <w:color w:val="000000" w:themeColor="text1"/>
          <w:sz w:val="24"/>
          <w:szCs w:val="24"/>
          <w:highlight w:val="none"/>
          <w14:textFill>
            <w14:solidFill>
              <w14:schemeClr w14:val="tx1"/>
            </w14:solidFill>
          </w14:textFill>
        </w:rPr>
        <w:t>企业</w:t>
      </w:r>
      <w:r>
        <w:rPr>
          <w:rFonts w:hint="eastAsia" w:ascii="Times New Roman" w:hAnsi="Times New Roman" w:cs="Times New Roman"/>
          <w:color w:val="000000" w:themeColor="text1"/>
          <w:sz w:val="24"/>
          <w:szCs w:val="24"/>
          <w:highlight w:val="none"/>
          <w:lang w:val="en-US"/>
          <w14:textFill>
            <w14:solidFill>
              <w14:schemeClr w14:val="tx1"/>
            </w14:solidFill>
          </w14:textFill>
        </w:rPr>
        <w:t>梯级</w:t>
      </w:r>
      <w:r>
        <w:rPr>
          <w:rFonts w:hint="eastAsia" w:ascii="Times New Roman" w:hAnsi="Times New Roman" w:cs="Times New Roman"/>
          <w:color w:val="000000" w:themeColor="text1"/>
          <w:sz w:val="24"/>
          <w:szCs w:val="24"/>
          <w:highlight w:val="none"/>
          <w14:textFill>
            <w14:solidFill>
              <w14:schemeClr w14:val="tx1"/>
            </w14:solidFill>
          </w14:textFill>
        </w:rPr>
        <w:t>报价</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8</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highlight w:val="none"/>
        </w:rPr>
      </w:pPr>
      <w:r>
        <w:rPr>
          <w:highlight w:val="none"/>
        </w:rPr>
        <w:fldChar w:fldCharType="begin"/>
      </w:r>
      <w:r>
        <w:rPr>
          <w:highlight w:val="none"/>
        </w:rPr>
        <w:instrText xml:space="preserve"> HYPERLINK \l "_Toc3599" </w:instrText>
      </w:r>
      <w:r>
        <w:rPr>
          <w:highlight w:val="none"/>
        </w:rPr>
        <w:fldChar w:fldCharType="separate"/>
      </w:r>
      <w:r>
        <w:rPr>
          <w:rFonts w:hint="eastAsia" w:ascii="Times New Roman" w:hAnsi="Times New Roman" w:cs="Times New Roman"/>
          <w:color w:val="000000" w:themeColor="text1"/>
          <w:sz w:val="24"/>
          <w:szCs w:val="24"/>
          <w:highlight w:val="none"/>
          <w:lang w:val="en-US"/>
          <w14:textFill>
            <w14:solidFill>
              <w14:schemeClr w14:val="tx1"/>
            </w14:solidFill>
          </w14:textFill>
        </w:rPr>
        <w:t>四</w:t>
      </w:r>
      <w:r>
        <w:rPr>
          <w:rFonts w:ascii="Times New Roman" w:hAnsi="Times New Roman" w:cs="Times New Roman"/>
          <w:color w:val="000000" w:themeColor="text1"/>
          <w:sz w:val="24"/>
          <w:szCs w:val="24"/>
          <w:highlight w:val="none"/>
          <w14:textFill>
            <w14:solidFill>
              <w14:schemeClr w14:val="tx1"/>
            </w14:solidFill>
          </w14:textFill>
        </w:rPr>
        <w:t>、报价信息解密</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9</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"_Toc18760" </w:instrText>
      </w:r>
      <w:r>
        <w:rPr>
          <w:highlight w:val="none"/>
        </w:rPr>
        <w:fldChar w:fldCharType="separate"/>
      </w:r>
      <w:r>
        <w:rPr>
          <w:rFonts w:hint="eastAsia" w:ascii="Times New Roman" w:hAnsi="Times New Roman" w:cs="Times New Roman"/>
          <w:color w:val="000000" w:themeColor="text1"/>
          <w:sz w:val="24"/>
          <w:szCs w:val="24"/>
          <w:highlight w:val="none"/>
          <w:lang w:val="en-US"/>
          <w14:textFill>
            <w14:solidFill>
              <w14:schemeClr w14:val="tx1"/>
            </w14:solidFill>
          </w14:textFill>
        </w:rPr>
        <w:t>五</w:t>
      </w: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t>拟中选产品确定</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w:t>
      </w:r>
      <w:r>
        <w:rPr>
          <w:rFonts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14:textFill>
            <w14:solidFill>
              <w14:schemeClr w14:val="tx1"/>
            </w14:solidFill>
          </w14:textFill>
        </w:rPr>
        <w:t>1</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0</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"_Toc18760" </w:instrText>
      </w:r>
      <w:r>
        <w:rPr>
          <w:highlight w:val="none"/>
        </w:rPr>
        <w:fldChar w:fldCharType="separate"/>
      </w:r>
      <w:r>
        <w:rPr>
          <w:rFonts w:hint="eastAsia" w:ascii="Times New Roman" w:hAnsi="Times New Roman" w:cs="Times New Roman"/>
          <w:color w:val="000000" w:themeColor="text1"/>
          <w:sz w:val="24"/>
          <w:szCs w:val="24"/>
          <w:highlight w:val="none"/>
          <w:lang w:val="en-US"/>
          <w14:textFill>
            <w14:solidFill>
              <w14:schemeClr w14:val="tx1"/>
            </w14:solidFill>
          </w14:textFill>
        </w:rPr>
        <w:t>六、采购协议</w:t>
      </w:r>
      <w:r>
        <w:rPr>
          <w:rFonts w:hint="eastAsia" w:ascii="Times New Roman" w:hAnsi="Times New Roman" w:cs="Times New Roman"/>
          <w:color w:val="000000" w:themeColor="text1"/>
          <w:sz w:val="24"/>
          <w:szCs w:val="24"/>
          <w:highlight w:val="none"/>
          <w:lang w:val="en-US"/>
          <w14:textFill>
            <w14:solidFill>
              <w14:schemeClr w14:val="tx1"/>
            </w14:solidFill>
          </w14:textFill>
        </w:rPr>
        <w:tab/>
      </w:r>
      <w:r>
        <w:rPr>
          <w:rFonts w:hint="eastAsia"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14:textFill>
            <w14:solidFill>
              <w14:schemeClr w14:val="tx1"/>
            </w14:solidFill>
          </w14:textFill>
        </w:rPr>
        <w:t>1</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"_Toc18760" </w:instrText>
      </w:r>
      <w:r>
        <w:rPr>
          <w:highlight w:val="none"/>
        </w:rPr>
        <w:fldChar w:fldCharType="separate"/>
      </w:r>
      <w:r>
        <w:rPr>
          <w:rFonts w:hint="eastAsia" w:ascii="Times New Roman" w:hAnsi="Times New Roman" w:cs="Times New Roman"/>
          <w:color w:val="000000" w:themeColor="text1"/>
          <w:sz w:val="24"/>
          <w:szCs w:val="24"/>
          <w:highlight w:val="none"/>
          <w:lang w:val="en-US"/>
          <w14:textFill>
            <w14:solidFill>
              <w14:schemeClr w14:val="tx1"/>
            </w14:solidFill>
          </w14:textFill>
        </w:rPr>
        <w:t>七、</w:t>
      </w:r>
      <w:r>
        <w:rPr>
          <w:rFonts w:ascii="Times New Roman" w:hAnsi="Times New Roman" w:cs="Times New Roman"/>
          <w:color w:val="000000" w:themeColor="text1"/>
          <w:sz w:val="24"/>
          <w:szCs w:val="24"/>
          <w:highlight w:val="none"/>
          <w:lang w:val="en-US"/>
          <w14:textFill>
            <w14:solidFill>
              <w14:schemeClr w14:val="tx1"/>
            </w14:solidFill>
          </w14:textFill>
        </w:rPr>
        <w:t>其他</w:t>
      </w:r>
      <w:r>
        <w:rPr>
          <w:rFonts w:hint="eastAsia" w:ascii="Times New Roman" w:hAnsi="Times New Roman" w:cs="Times New Roman"/>
          <w:color w:val="000000" w:themeColor="text1"/>
          <w:sz w:val="24"/>
          <w:szCs w:val="24"/>
          <w:highlight w:val="none"/>
          <w:lang w:val="en-US"/>
          <w14:textFill>
            <w14:solidFill>
              <w14:schemeClr w14:val="tx1"/>
            </w14:solidFill>
          </w14:textFill>
        </w:rPr>
        <w:tab/>
      </w:r>
      <w:r>
        <w:rPr>
          <w:rFonts w:hint="eastAsia" w:ascii="Times New Roman" w:hAnsi="Times New Roman" w:cs="Times New Roman"/>
          <w:color w:val="000000" w:themeColor="text1"/>
          <w:sz w:val="24"/>
          <w:szCs w:val="24"/>
          <w:highlight w:val="none"/>
          <w:lang w:val="en-US"/>
          <w14:textFill>
            <w14:solidFill>
              <w14:schemeClr w14:val="tx1"/>
            </w14:solidFill>
          </w14:textFill>
        </w:rPr>
        <w:t>-1</w:t>
      </w:r>
      <w:r>
        <w:rPr>
          <w:rFonts w:hint="eastAsia"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1"/>
        <w:tabs>
          <w:tab w:val="right" w:leader="dot" w:pos="9836"/>
        </w:tabs>
        <w:spacing w:line="360" w:lineRule="exact"/>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"_Toc19152" </w:instrText>
      </w:r>
      <w:r>
        <w:rPr>
          <w:highlight w:val="none"/>
        </w:rPr>
        <w:fldChar w:fldCharType="separate"/>
      </w:r>
      <w:r>
        <w:rPr>
          <w:rFonts w:ascii="Times New Roman" w:hAnsi="Times New Roman" w:cs="Times New Roman"/>
          <w:b/>
          <w:bCs/>
          <w:color w:val="000000" w:themeColor="text1"/>
          <w:sz w:val="24"/>
          <w:szCs w:val="24"/>
          <w:highlight w:val="none"/>
          <w14:textFill>
            <w14:solidFill>
              <w14:schemeClr w14:val="tx1"/>
            </w14:solidFill>
          </w14:textFill>
        </w:rPr>
        <w:t>第三部分 附件</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lang w:val="en-US"/>
          <w14:textFill>
            <w14:solidFill>
              <w14:schemeClr w14:val="tx1"/>
            </w14:solidFill>
          </w14:textFill>
        </w:rPr>
        <w:t>-1</w:t>
      </w:r>
      <w:r>
        <w:rPr>
          <w:rFonts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fldChar w:fldCharType="end"/>
      </w:r>
      <w:r>
        <w:rPr>
          <w:highlight w:val="none"/>
        </w:rPr>
        <w:fldChar w:fldCharType="begin"/>
      </w:r>
      <w:r>
        <w:rPr>
          <w:highlight w:val="none"/>
        </w:rPr>
        <w:instrText xml:space="preserve"> HYPERLINK \l "_Toc18760" </w:instrText>
      </w:r>
      <w:r>
        <w:rPr>
          <w:highlight w:val="none"/>
        </w:rPr>
        <w:fldChar w:fldCharType="separate"/>
      </w:r>
      <w:r>
        <w:rPr>
          <w:rFonts w:hint="eastAsia"/>
          <w:highlight w:val="none"/>
          <w:lang w:val="en-US" w:eastAsia="zh-CN"/>
        </w:rPr>
        <w:t>一</w:t>
      </w:r>
      <w:r>
        <w:rPr>
          <w:rFonts w:hint="eastAsia"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 xml:space="preserve">附件1 </w:t>
      </w:r>
      <w:r>
        <w:rPr>
          <w:rFonts w:hint="eastAsia" w:ascii="Times New Roman" w:hAnsi="Times New Roman" w:cs="Times New Roman"/>
          <w:color w:val="000000" w:themeColor="text1"/>
          <w:sz w:val="24"/>
          <w:szCs w:val="24"/>
          <w:highlight w:val="none"/>
          <w:lang w:val="en-US"/>
          <w14:textFill>
            <w14:solidFill>
              <w14:schemeClr w14:val="tx1"/>
            </w14:solidFill>
          </w14:textFill>
        </w:rPr>
        <w:t>医药企业价格和营销行为信用承诺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书</w:t>
      </w:r>
      <w:r>
        <w:rPr>
          <w:rFonts w:hint="eastAsia" w:ascii="Times New Roman" w:hAnsi="Times New Roman" w:cs="Times New Roman"/>
          <w:color w:val="000000" w:themeColor="text1"/>
          <w:sz w:val="24"/>
          <w:szCs w:val="24"/>
          <w:highlight w:val="none"/>
          <w:lang w:val="en-US"/>
          <w14:textFill>
            <w14:solidFill>
              <w14:schemeClr w14:val="tx1"/>
            </w14:solidFill>
          </w14:textFill>
        </w:rPr>
        <w:tab/>
      </w:r>
      <w:r>
        <w:rPr>
          <w:rFonts w:hint="eastAsia" w:ascii="Times New Roman" w:hAnsi="Times New Roman" w:cs="Times New Roman"/>
          <w:color w:val="000000" w:themeColor="text1"/>
          <w:sz w:val="24"/>
          <w:szCs w:val="24"/>
          <w:highlight w:val="none"/>
          <w:lang w:val="en-US"/>
          <w14:textFill>
            <w14:solidFill>
              <w14:schemeClr w14:val="tx1"/>
            </w14:solidFill>
          </w14:textFill>
        </w:rPr>
        <w:t>-1</w:t>
      </w:r>
      <w:r>
        <w:rPr>
          <w:rFonts w:hint="eastAsia"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5</w:t>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"_Toc18760" </w:instrText>
      </w:r>
      <w:r>
        <w:rPr>
          <w:highlight w:val="none"/>
        </w:rPr>
        <w:fldChar w:fldCharType="separate"/>
      </w:r>
      <w:r>
        <w:rPr>
          <w:rFonts w:hint="eastAsia"/>
          <w:highlight w:val="none"/>
          <w:lang w:val="en-US" w:eastAsia="zh-CN"/>
        </w:rPr>
        <w:t>二</w:t>
      </w:r>
      <w:r>
        <w:rPr>
          <w:rFonts w:hint="eastAsia"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 xml:space="preserve">附件2 </w:t>
      </w:r>
      <w:r>
        <w:rPr>
          <w:rFonts w:hint="eastAsia" w:ascii="Times New Roman" w:hAnsi="Times New Roman" w:cs="Times New Roman"/>
          <w:color w:val="000000" w:themeColor="text1"/>
          <w:sz w:val="24"/>
          <w:szCs w:val="24"/>
          <w:highlight w:val="none"/>
          <w:lang w:val="en-US"/>
          <w14:textFill>
            <w14:solidFill>
              <w14:schemeClr w14:val="tx1"/>
            </w14:solidFill>
          </w14:textFill>
        </w:rPr>
        <w:t>联盟地区药品集团带量采购购销合</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同</w:t>
      </w:r>
      <w:r>
        <w:rPr>
          <w:rFonts w:hint="eastAsia" w:ascii="Times New Roman" w:hAnsi="Times New Roman" w:cs="Times New Roman"/>
          <w:color w:val="000000" w:themeColor="text1"/>
          <w:sz w:val="24"/>
          <w:szCs w:val="24"/>
          <w:highlight w:val="none"/>
          <w:lang w:val="en-US"/>
          <w14:textFill>
            <w14:solidFill>
              <w14:schemeClr w14:val="tx1"/>
            </w14:solidFill>
          </w14:textFill>
        </w:rPr>
        <w:tab/>
      </w:r>
      <w:r>
        <w:rPr>
          <w:rFonts w:hint="eastAsia" w:ascii="Times New Roman" w:hAnsi="Times New Roman" w:cs="Times New Roman"/>
          <w:color w:val="000000" w:themeColor="text1"/>
          <w:sz w:val="24"/>
          <w:szCs w:val="24"/>
          <w:highlight w:val="none"/>
          <w:lang w:val="en-US"/>
          <w14:textFill>
            <w14:solidFill>
              <w14:schemeClr w14:val="tx1"/>
            </w14:solidFill>
          </w14:textFill>
        </w:rPr>
        <w:t>-1</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8</w:t>
      </w:r>
      <w:r>
        <w:rPr>
          <w:rFonts w:hint="eastAsia"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highlight w:val="none"/>
          <w:lang w:val="en-US"/>
          <w14:textFill>
            <w14:solidFill>
              <w14:schemeClr w14:val="tx1"/>
            </w14:solidFill>
          </w14:textFill>
        </w:rPr>
      </w:pPr>
      <w:r>
        <w:rPr>
          <w:highlight w:val="none"/>
        </w:rPr>
        <w:fldChar w:fldCharType="begin"/>
      </w:r>
      <w:r>
        <w:rPr>
          <w:highlight w:val="none"/>
        </w:rPr>
        <w:instrText xml:space="preserve"> HYPERLINK \l "_Toc18760" </w:instrText>
      </w:r>
      <w:r>
        <w:rPr>
          <w:highlight w:val="none"/>
        </w:rPr>
        <w:fldChar w:fldCharType="separate"/>
      </w:r>
      <w:r>
        <w:rPr>
          <w:rFonts w:hint="eastAsia"/>
          <w:highlight w:val="none"/>
          <w:lang w:val="en-US" w:eastAsia="zh-CN"/>
        </w:rPr>
        <w:t>三</w:t>
      </w:r>
      <w:r>
        <w:rPr>
          <w:rFonts w:hint="eastAsia"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 xml:space="preserve">附表1 </w:t>
      </w:r>
      <w:r>
        <w:rPr>
          <w:rFonts w:hint="eastAsia" w:ascii="Times New Roman" w:hAnsi="Times New Roman" w:cs="Times New Roman"/>
          <w:color w:val="000000" w:themeColor="text1"/>
          <w:sz w:val="24"/>
          <w:szCs w:val="24"/>
          <w:highlight w:val="none"/>
          <w:lang w:val="en-US"/>
          <w14:textFill>
            <w14:solidFill>
              <w14:schemeClr w14:val="tx1"/>
            </w14:solidFill>
          </w14:textFill>
        </w:rPr>
        <w:t>药品采购单分组及统一代表品</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规</w:t>
      </w:r>
      <w:r>
        <w:rPr>
          <w:rFonts w:hint="eastAsia" w:ascii="Times New Roman" w:hAnsi="Times New Roman" w:cs="Times New Roman"/>
          <w:color w:val="000000" w:themeColor="text1"/>
          <w:sz w:val="24"/>
          <w:szCs w:val="24"/>
          <w:highlight w:val="none"/>
          <w:lang w:val="en-US"/>
          <w14:textFill>
            <w14:solidFill>
              <w14:schemeClr w14:val="tx1"/>
            </w14:solidFill>
          </w14:textFill>
        </w:rPr>
        <w:tab/>
      </w:r>
      <w:r>
        <w:rPr>
          <w:rFonts w:hint="eastAsia" w:ascii="Times New Roman" w:hAnsi="Times New Roman" w:cs="Times New Roman"/>
          <w:color w:val="000000" w:themeColor="text1"/>
          <w:sz w:val="24"/>
          <w:szCs w:val="24"/>
          <w:highlight w:val="none"/>
          <w:lang w:val="en-US"/>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26</w:t>
      </w:r>
      <w:r>
        <w:rPr>
          <w:rFonts w:hint="eastAsia" w:ascii="Times New Roman" w:hAnsi="Times New Roman" w:cs="Times New Roman"/>
          <w:color w:val="000000" w:themeColor="text1"/>
          <w:sz w:val="24"/>
          <w:szCs w:val="24"/>
          <w:highlight w:val="none"/>
          <w:lang w:val="en-US"/>
          <w14:textFill>
            <w14:solidFill>
              <w14:schemeClr w14:val="tx1"/>
            </w14:solidFill>
          </w14:textFill>
        </w:rPr>
        <w:fldChar w:fldCharType="end"/>
      </w:r>
      <w:r>
        <w:rPr>
          <w:rFonts w:ascii="Times New Roman" w:hAnsi="Times New Roman" w:cs="Times New Roman"/>
          <w:color w:val="000000" w:themeColor="text1"/>
          <w:sz w:val="24"/>
          <w:szCs w:val="24"/>
          <w:highlight w:val="none"/>
          <w:lang w:val="en-US"/>
          <w14:textFill>
            <w14:solidFill>
              <w14:schemeClr w14:val="tx1"/>
            </w14:solidFill>
          </w14:textFill>
        </w:rPr>
        <w:t>-</w:t>
      </w:r>
    </w:p>
    <w:p>
      <w:pPr>
        <w:pStyle w:val="12"/>
        <w:tabs>
          <w:tab w:val="right" w:pos="2800"/>
          <w:tab w:val="right" w:leader="dot" w:pos="9836"/>
        </w:tabs>
        <w:spacing w:line="240" w:lineRule="auto"/>
        <w:ind w:left="0" w:leftChars="0" w:firstLine="0" w:firstLineChars="0"/>
        <w:rPr>
          <w:rFonts w:ascii="Times New Roman" w:hAnsi="Times New Roman" w:cs="Times New Roman"/>
          <w:color w:val="000000" w:themeColor="text1"/>
          <w:sz w:val="24"/>
          <w:szCs w:val="24"/>
          <w:highlight w:val="none"/>
          <w:lang w:val="en-US"/>
          <w14:textFill>
            <w14:solidFill>
              <w14:schemeClr w14:val="tx1"/>
            </w14:solidFill>
          </w14:textFill>
        </w:rPr>
      </w:pPr>
    </w:p>
    <w:p>
      <w:pPr>
        <w:pStyle w:val="12"/>
        <w:tabs>
          <w:tab w:val="right" w:leader="dot" w:pos="9836"/>
        </w:tabs>
        <w:spacing w:line="480" w:lineRule="exact"/>
        <w:ind w:left="440"/>
        <w:jc w:val="center"/>
        <w:rPr>
          <w:rFonts w:ascii="Times New Roman" w:hAnsi="Times New Roman" w:cs="Times New Roman"/>
          <w:color w:val="000000" w:themeColor="text1"/>
          <w:sz w:val="24"/>
          <w:szCs w:val="24"/>
          <w:highlight w:val="none"/>
          <w:lang w:val="en-US"/>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sectPr>
          <w:pgSz w:w="11910" w:h="16840"/>
          <w:pgMar w:top="1580" w:right="1040" w:bottom="280" w:left="1300" w:header="720" w:footer="720" w:gutter="0"/>
          <w:pgNumType w:fmt="numberInDash" w:start="1"/>
          <w:cols w:space="720" w:num="1"/>
        </w:sectPr>
      </w:pPr>
    </w:p>
    <w:p>
      <w:pPr>
        <w:keepNext/>
        <w:keepLines/>
        <w:widowControl/>
        <w:autoSpaceDE/>
        <w:autoSpaceDN/>
        <w:spacing w:after="160" w:line="560" w:lineRule="exact"/>
        <w:jc w:val="center"/>
        <w:outlineLvl w:val="0"/>
        <w:rPr>
          <w:rFonts w:ascii="Times New Roman" w:hAnsi="Times New Roman" w:cs="Times New Roman"/>
          <w:b/>
          <w:color w:val="000000" w:themeColor="text1"/>
          <w:kern w:val="44"/>
          <w:sz w:val="36"/>
          <w:szCs w:val="36"/>
          <w:highlight w:val="none"/>
          <w:lang w:val="en-US" w:bidi="ar-SA"/>
          <w14:textFill>
            <w14:solidFill>
              <w14:schemeClr w14:val="tx1"/>
            </w14:solidFill>
          </w14:textFill>
        </w:rPr>
      </w:pPr>
      <w:bookmarkStart w:id="0" w:name="_bookmark0"/>
      <w:bookmarkEnd w:id="0"/>
      <w:bookmarkStart w:id="1" w:name="第一部分_采购邀请"/>
      <w:bookmarkEnd w:id="1"/>
      <w:bookmarkStart w:id="2" w:name="_Toc27266"/>
      <w:bookmarkStart w:id="3" w:name="_Toc17748575"/>
      <w:r>
        <w:rPr>
          <w:rFonts w:ascii="Times New Roman" w:hAnsi="Times New Roman" w:eastAsia="华文中宋" w:cs="Times New Roman"/>
          <w:bCs/>
          <w:color w:val="000000" w:themeColor="text1"/>
          <w:kern w:val="44"/>
          <w:sz w:val="36"/>
          <w:szCs w:val="36"/>
          <w:highlight w:val="none"/>
          <w:lang w:val="en-US" w:bidi="ar-SA"/>
          <w14:textFill>
            <w14:solidFill>
              <w14:schemeClr w14:val="tx1"/>
            </w14:solidFill>
          </w14:textFill>
        </w:rPr>
        <w:t>第一部分 采购邀请</w:t>
      </w:r>
      <w:bookmarkEnd w:id="2"/>
      <w:bookmarkEnd w:id="3"/>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cs="Times New Roman"/>
          <w:color w:val="000000" w:themeColor="text1"/>
          <w:kern w:val="2"/>
          <w:sz w:val="30"/>
          <w:szCs w:val="30"/>
          <w:highlight w:val="none"/>
          <w:lang w:val="en-US" w:bidi="ar-SA"/>
          <w14:textFill>
            <w14:solidFill>
              <w14:schemeClr w14:val="tx1"/>
            </w14:solidFill>
          </w14:textFill>
        </w:rPr>
        <w:t>为满足医疗机构药品采购需求，促进</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药品</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形成合理市场价格，按照《广东省医疗保障局关于做好药品和医用耗材采购工作的指导意见》（粤医保规〔2020〕2号）的精神，广东省药品交易中心有限公司（以下简称省药交中心）开展</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清开灵等58个</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药品</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联盟地区集团带量采购工作，现邀请符合要求的企业前来申报。</w:t>
      </w:r>
    </w:p>
    <w:p>
      <w:pPr>
        <w:autoSpaceDE/>
        <w:autoSpaceDN/>
        <w:spacing w:line="600" w:lineRule="exact"/>
        <w:ind w:firstLine="600" w:firstLineChars="200"/>
        <w:jc w:val="both"/>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t>一、参与采购主体</w:t>
      </w:r>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cs="Times New Roman"/>
          <w:color w:val="000000" w:themeColor="text1"/>
          <w:kern w:val="2"/>
          <w:sz w:val="30"/>
          <w:szCs w:val="30"/>
          <w:highlight w:val="none"/>
          <w:lang w:val="en-US" w:bidi="ar-SA"/>
          <w14:textFill>
            <w14:solidFill>
              <w14:schemeClr w14:val="tx1"/>
            </w14:solidFill>
          </w14:textFill>
        </w:rPr>
        <w:t>本次参与</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的</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采购主体为联盟地区所有公立医疗机构（含军队医疗机构，下同），医保定点社会办医疗机构和定点药店</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可自愿参加</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t>二、品种范围</w:t>
      </w:r>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bookmarkStart w:id="4" w:name="_Toc17748577"/>
      <w:bookmarkStart w:id="5" w:name="_Toc3139"/>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本次</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药品</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集团带量采购的品种范围是基本医保药品目录内用量大、采购金额高的58个通用名</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药品</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的全部剂型及规格。</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t>三、采购周期和采购协议</w:t>
      </w:r>
      <w:r>
        <w:rPr>
          <w:rFonts w:hint="eastAsia" w:ascii="Times New Roman" w:hAnsi="Times New Roman" w:eastAsia="黑体" w:cs="Times New Roman"/>
          <w:color w:val="000000" w:themeColor="text1"/>
          <w:kern w:val="2"/>
          <w:sz w:val="30"/>
          <w:szCs w:val="30"/>
          <w:highlight w:val="none"/>
          <w:lang w:val="en-US" w:bidi="ar-SA"/>
          <w14:textFill>
            <w14:solidFill>
              <w14:schemeClr w14:val="tx1"/>
            </w14:solidFill>
          </w14:textFill>
        </w:rPr>
        <w:t xml:space="preserve"> </w:t>
      </w:r>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cs="Times New Roman"/>
          <w:color w:val="000000" w:themeColor="text1"/>
          <w:kern w:val="2"/>
          <w:sz w:val="30"/>
          <w:szCs w:val="30"/>
          <w:highlight w:val="none"/>
          <w:lang w:val="en-US" w:bidi="ar-SA"/>
          <w14:textFill>
            <w14:solidFill>
              <w14:schemeClr w14:val="tx1"/>
            </w14:solidFill>
          </w14:textFill>
        </w:rPr>
        <w:t>（一）本次</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品种范围的药品</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联盟地区带量采购周期至202</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年</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月</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日，自中选结果实际执行日起计算。</w:t>
      </w:r>
    </w:p>
    <w:p>
      <w:pPr>
        <w:spacing w:line="600" w:lineRule="exact"/>
        <w:ind w:firstLine="600" w:firstLineChars="200"/>
        <w:jc w:val="both"/>
        <w:textAlignment w:val="baseline"/>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（二）</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在采购周期内采购协议</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每年一签</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。续签采购协议时，</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第二年</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协议采购量原则上不少于</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该中选产品上年协议采购量</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，续签</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时间不满一年的，</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协议采购量</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根据采购期的首年预采购量</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折算</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w:t>
      </w:r>
      <w:r>
        <w:rPr>
          <w:rFonts w:hint="eastAsia" w:ascii="Times New Roman" w:hAnsi="Times New Roman"/>
          <w:kern w:val="2"/>
          <w:sz w:val="30"/>
          <w:szCs w:val="30"/>
          <w:highlight w:val="none"/>
          <w:lang w:val="en-US" w:eastAsia="zh-CN"/>
        </w:rPr>
        <w:t>仅第一梯级中选的独家产品的使用量不超过上年度的约定采购量。</w:t>
      </w:r>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（三）</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采购周期内医疗机构</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若提前完成当年协议采购量，超出协议采购量的部分优先采购中选产品，中选企业按本文件规定情形相应的中选价格进行供应，直至采购周期届满。</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t>四、申报资格</w:t>
      </w:r>
      <w:bookmarkEnd w:id="4"/>
      <w:bookmarkEnd w:id="5"/>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cs="Times New Roman"/>
          <w:color w:val="000000" w:themeColor="text1"/>
          <w:kern w:val="2"/>
          <w:sz w:val="30"/>
          <w:szCs w:val="30"/>
          <w:highlight w:val="none"/>
          <w:lang w:val="en-US" w:bidi="ar-SA"/>
          <w14:textFill>
            <w14:solidFill>
              <w14:schemeClr w14:val="tx1"/>
            </w14:solidFill>
          </w14:textFill>
        </w:rPr>
        <w:t>符合以下申报要求的企业须在规定时间提交申报材料，未提交的，将影响该企业所涉及药品在联盟地区范围内的药品集团带量采购活动</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，其后果自负。</w:t>
      </w:r>
    </w:p>
    <w:p>
      <w:pPr>
        <w:autoSpaceDE/>
        <w:autoSpaceDN/>
        <w:spacing w:line="560" w:lineRule="exact"/>
        <w:ind w:firstLine="602" w:firstLineChars="200"/>
        <w:jc w:val="both"/>
        <w:rPr>
          <w:rFonts w:ascii="Times New Roman" w:hAnsi="Times New Roman" w:cs="Times New Roman"/>
          <w:b/>
          <w:bCs/>
          <w:color w:val="000000" w:themeColor="text1"/>
          <w:kern w:val="2"/>
          <w:sz w:val="30"/>
          <w:szCs w:val="30"/>
          <w:highlight w:val="none"/>
          <w:lang w:val="en-US" w:bidi="ar-SA"/>
          <w14:textFill>
            <w14:solidFill>
              <w14:schemeClr w14:val="tx1"/>
            </w14:solidFill>
          </w14:textFill>
        </w:rPr>
      </w:pPr>
      <w:r>
        <w:rPr>
          <w:rFonts w:ascii="Times New Roman" w:hAnsi="Times New Roman" w:cs="Times New Roman"/>
          <w:b/>
          <w:bCs/>
          <w:color w:val="000000" w:themeColor="text1"/>
          <w:kern w:val="2"/>
          <w:sz w:val="30"/>
          <w:szCs w:val="30"/>
          <w:highlight w:val="none"/>
          <w:lang w:val="en-US" w:bidi="ar-SA"/>
          <w14:textFill>
            <w14:solidFill>
              <w14:schemeClr w14:val="tx1"/>
            </w14:solidFill>
          </w14:textFill>
        </w:rPr>
        <w:t>（一）申报企业资格</w:t>
      </w:r>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cs="Times New Roman"/>
          <w:color w:val="000000" w:themeColor="text1"/>
          <w:kern w:val="2"/>
          <w:sz w:val="30"/>
          <w:szCs w:val="30"/>
          <w:highlight w:val="none"/>
          <w:lang w:val="en-US" w:bidi="ar-SA"/>
          <w14:textFill>
            <w14:solidFill>
              <w14:schemeClr w14:val="tx1"/>
            </w14:solidFill>
          </w14:textFill>
        </w:rPr>
        <w:t>提供药品及伴随服务的国内药品生产企业、药品上市许可持有人、药品上市许可持有人（为境外企业）指定的进口药品全国总代理。</w:t>
      </w:r>
    </w:p>
    <w:p>
      <w:pPr>
        <w:autoSpaceDE/>
        <w:autoSpaceDN/>
        <w:spacing w:line="560" w:lineRule="exact"/>
        <w:ind w:firstLine="602" w:firstLineChars="200"/>
        <w:jc w:val="both"/>
        <w:rPr>
          <w:rFonts w:ascii="Times New Roman" w:hAnsi="Times New Roman" w:cs="Times New Roman"/>
          <w:b/>
          <w:bCs/>
          <w:color w:val="000000" w:themeColor="text1"/>
          <w:kern w:val="2"/>
          <w:sz w:val="30"/>
          <w:szCs w:val="30"/>
          <w:highlight w:val="none"/>
          <w:lang w:val="en-US" w:bidi="ar-SA"/>
          <w14:textFill>
            <w14:solidFill>
              <w14:schemeClr w14:val="tx1"/>
            </w14:solidFill>
          </w14:textFill>
        </w:rPr>
      </w:pPr>
      <w:r>
        <w:rPr>
          <w:rFonts w:ascii="Times New Roman" w:hAnsi="Times New Roman" w:cs="Times New Roman"/>
          <w:b/>
          <w:bCs/>
          <w:color w:val="000000" w:themeColor="text1"/>
          <w:kern w:val="2"/>
          <w:sz w:val="30"/>
          <w:szCs w:val="30"/>
          <w:highlight w:val="none"/>
          <w:lang w:val="en-US" w:bidi="ar-SA"/>
          <w14:textFill>
            <w14:solidFill>
              <w14:schemeClr w14:val="tx1"/>
            </w14:solidFill>
          </w14:textFill>
        </w:rPr>
        <w:t>（二）申报品种资格</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color w:val="000000" w:themeColor="text1"/>
          <w:kern w:val="2"/>
          <w:sz w:val="30"/>
          <w:szCs w:val="30"/>
          <w:highlight w:val="none"/>
          <w:lang w:val="en-US" w:bidi="ar-SA"/>
          <w14:textFill>
            <w14:solidFill>
              <w14:schemeClr w14:val="tx1"/>
            </w14:solidFill>
          </w14:textFill>
        </w:rPr>
        <w:t>属本</w:t>
      </w:r>
      <w:r>
        <w:rPr>
          <w:rFonts w:ascii="Times New Roman" w:hAnsi="Times New Roman" w:cs="Times New Roman"/>
          <w:kern w:val="2"/>
          <w:sz w:val="30"/>
          <w:szCs w:val="30"/>
          <w:highlight w:val="none"/>
          <w:lang w:val="en-US" w:bidi="ar-SA"/>
        </w:rPr>
        <w:t>次采购范围</w:t>
      </w:r>
      <w:r>
        <w:rPr>
          <w:rFonts w:hint="eastAsia" w:ascii="Times New Roman" w:hAnsi="Times New Roman" w:cs="Times New Roman"/>
          <w:kern w:val="2"/>
          <w:sz w:val="30"/>
          <w:szCs w:val="30"/>
          <w:highlight w:val="none"/>
          <w:lang w:val="en-US" w:bidi="ar-SA"/>
        </w:rPr>
        <w:t>的品种，经国家药监部门批准，取得</w:t>
      </w:r>
      <w:r>
        <w:rPr>
          <w:rFonts w:ascii="Times New Roman" w:hAnsi="Times New Roman" w:cs="Times New Roman"/>
          <w:kern w:val="2"/>
          <w:sz w:val="30"/>
          <w:szCs w:val="30"/>
          <w:highlight w:val="none"/>
          <w:lang w:val="en-US" w:bidi="ar-SA"/>
        </w:rPr>
        <w:t>国内有效注册批件的上市药品</w:t>
      </w:r>
      <w:r>
        <w:rPr>
          <w:rFonts w:hint="eastAsia" w:ascii="Times New Roman" w:hAnsi="Times New Roman" w:cs="Times New Roman"/>
          <w:kern w:val="2"/>
          <w:sz w:val="30"/>
          <w:szCs w:val="30"/>
          <w:highlight w:val="none"/>
          <w:lang w:val="en-US" w:bidi="ar-SA"/>
        </w:rPr>
        <w:t>。</w:t>
      </w:r>
    </w:p>
    <w:p>
      <w:pPr>
        <w:autoSpaceDE/>
        <w:autoSpaceDN/>
        <w:spacing w:line="560" w:lineRule="exact"/>
        <w:ind w:firstLine="602" w:firstLineChars="200"/>
        <w:jc w:val="both"/>
        <w:rPr>
          <w:rFonts w:ascii="Times New Roman" w:hAnsi="Times New Roman" w:cs="Times New Roman"/>
          <w:b/>
          <w:bCs/>
          <w:color w:val="000000" w:themeColor="text1"/>
          <w:kern w:val="2"/>
          <w:sz w:val="30"/>
          <w:szCs w:val="30"/>
          <w:highlight w:val="none"/>
          <w:lang w:val="en-US" w:bidi="ar-SA"/>
          <w14:textFill>
            <w14:solidFill>
              <w14:schemeClr w14:val="tx1"/>
            </w14:solidFill>
          </w14:textFill>
        </w:rPr>
      </w:pPr>
      <w:r>
        <w:rPr>
          <w:rFonts w:ascii="Times New Roman" w:hAnsi="Times New Roman" w:cs="Times New Roman"/>
          <w:b/>
          <w:bCs/>
          <w:color w:val="000000" w:themeColor="text1"/>
          <w:kern w:val="2"/>
          <w:sz w:val="30"/>
          <w:szCs w:val="30"/>
          <w:highlight w:val="none"/>
          <w:lang w:val="en-US" w:bidi="ar-SA"/>
          <w14:textFill>
            <w14:solidFill>
              <w14:schemeClr w14:val="tx1"/>
            </w14:solidFill>
          </w14:textFill>
        </w:rPr>
        <w:t>（三）其他申报要求</w:t>
      </w:r>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1.申报企业须确保在采购周期内满足联盟地区采购主体的采购需求，包括预采购量以及超过预采购量的部分。</w:t>
      </w:r>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2.申报企业需明确供应产品清单以及供应主体范围（即公立医疗机构/</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医保定点社会办医疗机构</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定点药店</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w:t>
      </w:r>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3.申报企业应遵守《专利法》《反不正当竞争法》等相关法律法规，并承担相应法律责任。</w:t>
      </w:r>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4.申报企业未被列入当前《全国医药价格和招采失信企业风险警示名单》。</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t>五、采购产品清单</w:t>
      </w:r>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本次联盟地区集团带量</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采购</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产品清单（以下简称</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采购</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单）以品种序号和组别区分，详见附表1。</w:t>
      </w:r>
    </w:p>
    <w:p>
      <w:pPr>
        <w:autoSpaceDE/>
        <w:autoSpaceDN/>
        <w:spacing w:line="560" w:lineRule="exact"/>
        <w:ind w:firstLine="602" w:firstLineChars="200"/>
        <w:jc w:val="both"/>
        <w:rPr>
          <w:rFonts w:ascii="Times New Roman" w:hAnsi="Times New Roman" w:cs="Times New Roman"/>
          <w:b/>
          <w:bCs/>
          <w:color w:val="000000" w:themeColor="text1"/>
          <w:kern w:val="2"/>
          <w:sz w:val="30"/>
          <w:szCs w:val="30"/>
          <w:highlight w:val="none"/>
          <w:lang w:val="en-US" w:bidi="ar-SA"/>
          <w14:textFill>
            <w14:solidFill>
              <w14:schemeClr w14:val="tx1"/>
            </w14:solidFill>
          </w14:textFill>
        </w:rPr>
      </w:pPr>
      <w:r>
        <w:rPr>
          <w:rFonts w:ascii="Times New Roman" w:hAnsi="Times New Roman" w:cs="Times New Roman"/>
          <w:b/>
          <w:bCs/>
          <w:color w:val="000000" w:themeColor="text1"/>
          <w:kern w:val="2"/>
          <w:sz w:val="30"/>
          <w:szCs w:val="30"/>
          <w:highlight w:val="none"/>
          <w:lang w:val="en-US" w:bidi="ar-SA"/>
          <w14:textFill>
            <w14:solidFill>
              <w14:schemeClr w14:val="tx1"/>
            </w14:solidFill>
          </w14:textFill>
        </w:rPr>
        <w:t>（一）医疗机构的报量</w:t>
      </w:r>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1.参与本次集采品种报量</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的联盟地区包括广东</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、山西、河南</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海南、宁夏、青海</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、新疆</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w:t>
      </w:r>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2.</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采购单由</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公立</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医疗机构对应批准文号、剂型、规格等填报</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采购期首年预采购量，仅按公立医疗机构填报的首年</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预采购量</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进行统计，</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医保定点社会办医疗机构</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和</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定点药店</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另行单独统计。</w:t>
      </w:r>
    </w:p>
    <w:p>
      <w:pPr>
        <w:autoSpaceDE/>
        <w:autoSpaceDN/>
        <w:spacing w:line="560" w:lineRule="exact"/>
        <w:ind w:firstLine="600" w:firstLineChars="200"/>
        <w:jc w:val="both"/>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3.公立医疗机构填报属本次</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采购范围</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的品种，但对应企业或品规不符合申报资格的，其采购期首年预采购量纳入待分配量。</w:t>
      </w:r>
    </w:p>
    <w:p>
      <w:pPr>
        <w:autoSpaceDE/>
        <w:autoSpaceDN/>
        <w:spacing w:line="560" w:lineRule="exact"/>
        <w:ind w:firstLine="600" w:firstLineChars="200"/>
        <w:jc w:val="both"/>
        <w:rPr>
          <w:highlight w:val="none"/>
          <w:lang w:val="en-US"/>
        </w:rPr>
      </w:pP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4</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企业选择不参与的剂型和规格，其</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采购期首年预采购量纳入待分配量。</w:t>
      </w:r>
    </w:p>
    <w:p>
      <w:pPr>
        <w:autoSpaceDE/>
        <w:autoSpaceDN/>
        <w:spacing w:line="560" w:lineRule="exact"/>
        <w:ind w:firstLine="602" w:firstLineChars="200"/>
        <w:jc w:val="both"/>
        <w:rPr>
          <w:highlight w:val="none"/>
          <w:lang w:val="en-US"/>
        </w:rPr>
      </w:pPr>
      <w:r>
        <w:rPr>
          <w:rFonts w:ascii="Times New Roman" w:hAnsi="Times New Roman" w:cs="Times New Roman"/>
          <w:b/>
          <w:bCs/>
          <w:color w:val="000000" w:themeColor="text1"/>
          <w:kern w:val="2"/>
          <w:sz w:val="30"/>
          <w:szCs w:val="30"/>
          <w:highlight w:val="none"/>
          <w:lang w:val="en-US" w:bidi="ar-SA"/>
          <w14:textFill>
            <w14:solidFill>
              <w14:schemeClr w14:val="tx1"/>
            </w14:solidFill>
          </w14:textFill>
        </w:rPr>
        <w:t>（二） 采购单的形成</w:t>
      </w:r>
    </w:p>
    <w:p>
      <w:pPr>
        <w:autoSpaceDE/>
        <w:autoSpaceDN/>
        <w:spacing w:line="60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1.采购单内的</w:t>
      </w:r>
      <w:r>
        <w:rPr>
          <w:rFonts w:hint="eastAsia" w:ascii="Times New Roman" w:hAnsi="Times New Roman" w:cs="Times New Roman"/>
          <w:kern w:val="2"/>
          <w:sz w:val="30"/>
          <w:szCs w:val="30"/>
          <w:highlight w:val="none"/>
          <w:lang w:val="en-US" w:bidi="ar-SA"/>
        </w:rPr>
        <w:t>药品，按以下原则合并分组</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w:t>
      </w:r>
    </w:p>
    <w:p>
      <w:pPr>
        <w:autoSpaceDE/>
        <w:autoSpaceDN/>
        <w:spacing w:line="560" w:lineRule="exact"/>
        <w:ind w:firstLine="600" w:firstLineChars="200"/>
        <w:jc w:val="both"/>
        <w:rPr>
          <w:rFonts w:hint="default" w:ascii="仿宋_GB2312" w:hAnsi="仿宋_GB2312" w:eastAsia="仿宋_GB2312" w:cs="仿宋_GB2312"/>
          <w:highlight w:val="none"/>
          <w:lang w:val="en-US" w:eastAsia="zh-CN"/>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（1）同一通用名内药品各剂型</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（医保药品目录剂型，下同）</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的合并规则：片剂、分散片、肠溶片与胶囊，颗粒与合剂（口服液），软胶囊（胶丸）与滴丸</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，注射剂（含普通粉针、冻干粉、溶媒结晶、大容量注射液、小容量注射液）</w:t>
      </w:r>
      <w:bookmarkStart w:id="46" w:name="_GoBack"/>
      <w:bookmarkEnd w:id="46"/>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；若合并后出现独家的，则并入同一给药途径有差比价关系的</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相近</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剂型组别内。</w:t>
      </w:r>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（2）处方相同而药品名称不同的药品原则上予以合并一组；药品名称相同或相似而处方不同的药品按照组方或成分区分为不同组。</w:t>
      </w:r>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u w:val="none"/>
          <w:lang w:val="en-US" w:bidi="ar-SA"/>
          <w14:textFill>
            <w14:solidFill>
              <w14:schemeClr w14:val="tx1"/>
            </w14:solidFill>
          </w14:textFill>
        </w:rPr>
      </w:pPr>
      <w:r>
        <w:rPr>
          <w:rFonts w:hint="eastAsia" w:ascii="Times New Roman" w:hAnsi="Times New Roman" w:cs="Times New Roman"/>
          <w:sz w:val="30"/>
          <w:szCs w:val="30"/>
          <w:highlight w:val="none"/>
          <w:u w:val="none"/>
          <w:lang w:val="en-US"/>
        </w:rPr>
        <w:t>（3）按上述原则未能合并的独家产品，按广东省卫健部门公布的重点药品监控目录（以下简称监控独家产品）和日均治疗费用（指本企业的日均治疗费用，计算公式为：日均治疗费用=最小计量单位的价格×对应品规的日均治疗量）</w:t>
      </w:r>
      <w:r>
        <w:rPr>
          <w:rFonts w:hint="eastAsia" w:ascii="Times New Roman" w:hAnsi="Times New Roman" w:cs="Times New Roman"/>
          <w:sz w:val="30"/>
          <w:szCs w:val="30"/>
          <w:highlight w:val="none"/>
          <w:u w:val="none"/>
          <w:lang w:val="en-US" w:eastAsia="zh-CN"/>
        </w:rPr>
        <w:t>的</w:t>
      </w:r>
      <w:r>
        <w:rPr>
          <w:rFonts w:hint="eastAsia" w:ascii="Times New Roman" w:hAnsi="Times New Roman" w:cs="Times New Roman"/>
          <w:sz w:val="30"/>
          <w:szCs w:val="30"/>
          <w:highlight w:val="none"/>
          <w:u w:val="none"/>
          <w:lang w:val="en-US"/>
        </w:rPr>
        <w:t>价格区间</w:t>
      </w:r>
      <w:r>
        <w:rPr>
          <w:rFonts w:hint="eastAsia" w:ascii="Times New Roman" w:hAnsi="Times New Roman" w:cs="Times New Roman"/>
          <w:sz w:val="30"/>
          <w:szCs w:val="30"/>
          <w:highlight w:val="none"/>
          <w:u w:val="none"/>
          <w:lang w:val="en-US" w:eastAsia="zh-CN"/>
        </w:rPr>
        <w:t>划分为4个</w:t>
      </w:r>
      <w:r>
        <w:rPr>
          <w:rFonts w:hint="eastAsia" w:ascii="Times New Roman" w:hAnsi="Times New Roman" w:cs="Times New Roman"/>
          <w:sz w:val="30"/>
          <w:szCs w:val="30"/>
          <w:highlight w:val="none"/>
          <w:u w:val="none"/>
          <w:lang w:val="en-US"/>
        </w:rPr>
        <w:t>组别：①监控独家产品</w:t>
      </w:r>
      <w:r>
        <w:rPr>
          <w:rFonts w:hint="eastAsia" w:ascii="Times New Roman" w:hAnsi="Times New Roman" w:cs="Times New Roman"/>
          <w:sz w:val="30"/>
          <w:szCs w:val="30"/>
          <w:highlight w:val="none"/>
          <w:u w:val="none"/>
          <w:lang w:val="en-US" w:eastAsia="zh-CN"/>
        </w:rPr>
        <w:t>；②</w:t>
      </w:r>
      <w:r>
        <w:rPr>
          <w:rFonts w:hint="eastAsia" w:ascii="Times New Roman" w:hAnsi="Times New Roman" w:cs="Times New Roman"/>
          <w:sz w:val="30"/>
          <w:szCs w:val="30"/>
          <w:highlight w:val="none"/>
          <w:u w:val="none"/>
          <w:lang w:val="en-US"/>
        </w:rPr>
        <w:t>日均治疗费用≤5元的产品；</w:t>
      </w:r>
      <w:r>
        <w:rPr>
          <w:rFonts w:hint="eastAsia" w:ascii="Times New Roman" w:hAnsi="Times New Roman" w:cs="Times New Roman"/>
          <w:sz w:val="30"/>
          <w:szCs w:val="30"/>
          <w:highlight w:val="none"/>
          <w:u w:val="none"/>
          <w:lang w:val="en-US" w:eastAsia="zh-CN"/>
        </w:rPr>
        <w:t>③</w:t>
      </w:r>
      <w:r>
        <w:rPr>
          <w:rFonts w:hint="eastAsia" w:ascii="Times New Roman" w:hAnsi="Times New Roman" w:cs="Times New Roman"/>
          <w:sz w:val="30"/>
          <w:szCs w:val="30"/>
          <w:highlight w:val="none"/>
          <w:u w:val="none"/>
          <w:lang w:val="en-US"/>
        </w:rPr>
        <w:t>日均治疗费用5-15元（含）的产品；</w:t>
      </w:r>
      <w:r>
        <w:rPr>
          <w:rFonts w:hint="eastAsia" w:ascii="Times New Roman" w:hAnsi="Times New Roman" w:cs="Times New Roman"/>
          <w:sz w:val="30"/>
          <w:szCs w:val="30"/>
          <w:highlight w:val="none"/>
          <w:u w:val="none"/>
          <w:lang w:val="en-US" w:eastAsia="zh-CN"/>
        </w:rPr>
        <w:t>④</w:t>
      </w:r>
      <w:r>
        <w:rPr>
          <w:rFonts w:hint="eastAsia" w:ascii="Times New Roman" w:hAnsi="Times New Roman" w:cs="Times New Roman"/>
          <w:sz w:val="30"/>
          <w:szCs w:val="30"/>
          <w:highlight w:val="none"/>
          <w:u w:val="none"/>
          <w:lang w:val="en-US"/>
        </w:rPr>
        <w:t>日均治疗费用＞15元的产品。</w:t>
      </w:r>
    </w:p>
    <w:p>
      <w:pPr>
        <w:pStyle w:val="7"/>
        <w:numPr>
          <w:ilvl w:val="0"/>
          <w:numId w:val="1"/>
        </w:numPr>
        <w:spacing w:line="600" w:lineRule="exact"/>
        <w:ind w:left="0" w:firstLine="600" w:firstLineChars="200"/>
        <w:jc w:val="both"/>
        <w:rPr>
          <w:rFonts w:ascii="Times New Roman" w:hAnsi="Times New Roman"/>
          <w:kern w:val="2"/>
          <w:highlight w:val="none"/>
          <w:lang w:val="en-US"/>
        </w:rPr>
      </w:pPr>
      <w:r>
        <w:rPr>
          <w:rFonts w:hint="eastAsia" w:ascii="Times New Roman" w:hAnsi="Times New Roman"/>
          <w:kern w:val="2"/>
          <w:highlight w:val="none"/>
          <w:lang w:val="en-US"/>
        </w:rPr>
        <w:t>A、B两类采购单的划分</w:t>
      </w:r>
    </w:p>
    <w:p>
      <w:pPr>
        <w:numPr>
          <w:ilvl w:val="-1"/>
          <w:numId w:val="0"/>
        </w:numPr>
        <w:autoSpaceDE/>
        <w:autoSpaceDN/>
        <w:spacing w:line="560" w:lineRule="exact"/>
        <w:ind w:firstLine="600" w:firstLineChars="200"/>
        <w:jc w:val="both"/>
        <w:rPr>
          <w:rFonts w:hint="eastAsia" w:ascii="Times New Roman" w:hAnsi="Times New Roman"/>
          <w:kern w:val="2"/>
          <w:sz w:val="30"/>
          <w:szCs w:val="30"/>
          <w:highlight w:val="none"/>
          <w:lang w:val="en-US"/>
        </w:rPr>
      </w:pPr>
      <w:r>
        <w:rPr>
          <w:rFonts w:hint="eastAsia" w:ascii="Times New Roman" w:hAnsi="Times New Roman"/>
          <w:kern w:val="2"/>
          <w:sz w:val="30"/>
          <w:szCs w:val="30"/>
          <w:highlight w:val="none"/>
          <w:lang w:val="en-US" w:eastAsia="zh-CN"/>
        </w:rPr>
        <w:t>（1）</w:t>
      </w:r>
      <w:r>
        <w:rPr>
          <w:rFonts w:hint="eastAsia" w:ascii="Times New Roman" w:hAnsi="Times New Roman"/>
          <w:kern w:val="2"/>
          <w:sz w:val="30"/>
          <w:szCs w:val="30"/>
          <w:highlight w:val="none"/>
          <w:lang w:val="en-US"/>
        </w:rPr>
        <w:t>独家产品按上述4个组别仅划分A采购单，不设B采购单。</w:t>
      </w:r>
    </w:p>
    <w:p>
      <w:pPr>
        <w:numPr>
          <w:ilvl w:val="-1"/>
          <w:numId w:val="0"/>
        </w:numPr>
        <w:autoSpaceDE/>
        <w:autoSpaceDN/>
        <w:spacing w:line="560" w:lineRule="exact"/>
        <w:ind w:firstLine="600" w:firstLineChars="200"/>
        <w:jc w:val="both"/>
        <w:rPr>
          <w:rFonts w:ascii="Times New Roman" w:hAnsi="Times New Roman"/>
          <w:kern w:val="2"/>
          <w:sz w:val="30"/>
          <w:szCs w:val="30"/>
          <w:highlight w:val="none"/>
          <w:lang w:val="en-US"/>
        </w:rPr>
      </w:pPr>
      <w:r>
        <w:rPr>
          <w:rFonts w:hint="eastAsia" w:ascii="Times New Roman" w:hAnsi="Times New Roman"/>
          <w:kern w:val="2"/>
          <w:sz w:val="30"/>
          <w:szCs w:val="30"/>
          <w:highlight w:val="none"/>
          <w:lang w:val="en-US" w:eastAsia="zh-CN"/>
        </w:rPr>
        <w:t>（2）</w:t>
      </w:r>
      <w:r>
        <w:rPr>
          <w:rFonts w:hint="eastAsia" w:ascii="Times New Roman" w:hAnsi="Times New Roman"/>
          <w:kern w:val="2"/>
          <w:sz w:val="30"/>
          <w:szCs w:val="30"/>
          <w:highlight w:val="none"/>
          <w:lang w:val="en-US"/>
        </w:rPr>
        <w:t>其他的产品（</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以下简称</w:t>
      </w:r>
      <w:r>
        <w:rPr>
          <w:rFonts w:hint="eastAsia" w:ascii="Times New Roman" w:hAnsi="Times New Roman"/>
          <w:kern w:val="2"/>
          <w:sz w:val="30"/>
          <w:szCs w:val="30"/>
          <w:highlight w:val="none"/>
          <w:lang w:val="en-US"/>
        </w:rPr>
        <w:t>非独家产品）以同企业同通用名药品每个规格的首年预采购量和对应规格的平均日治疗量为基础，折算同组内同企业的服用总天数，并计算同组内每家企业服用总天数占联盟地区所有企业合计服用天数的比例作为划分依据</w:t>
      </w:r>
      <w:r>
        <w:rPr>
          <w:rFonts w:hint="eastAsia" w:ascii="Times New Roman" w:hAnsi="Times New Roman"/>
          <w:kern w:val="2"/>
          <w:sz w:val="30"/>
          <w:szCs w:val="30"/>
          <w:highlight w:val="none"/>
          <w:lang w:val="en-US" w:eastAsia="zh-CN"/>
        </w:rPr>
        <w:t>，</w:t>
      </w:r>
      <w:r>
        <w:rPr>
          <w:rFonts w:hint="eastAsia" w:ascii="Times New Roman" w:hAnsi="Times New Roman"/>
          <w:kern w:val="2"/>
          <w:sz w:val="30"/>
          <w:szCs w:val="30"/>
          <w:highlight w:val="none"/>
          <w:lang w:val="en-US"/>
        </w:rPr>
        <w:t>按占比从高到低累计达80%的企业产品列入A采购单，剩余的则列入B采购单；若A采购单企业数不足3家时，按占比从高到低补足3家企业列入A采购单。</w:t>
      </w:r>
    </w:p>
    <w:p>
      <w:pPr>
        <w:autoSpaceDE/>
        <w:autoSpaceDN/>
        <w:spacing w:line="560" w:lineRule="exact"/>
        <w:ind w:firstLine="600" w:firstLineChars="200"/>
        <w:jc w:val="both"/>
        <w:rPr>
          <w:rFonts w:hint="eastAsia" w:ascii="Times New Roman" w:hAnsi="Times New Roman"/>
          <w:kern w:val="2"/>
          <w:sz w:val="30"/>
          <w:szCs w:val="30"/>
          <w:highlight w:val="none"/>
          <w:lang w:val="en-US"/>
        </w:rPr>
      </w:pPr>
      <w:r>
        <w:rPr>
          <w:rFonts w:hint="eastAsia" w:ascii="Times New Roman" w:hAnsi="Times New Roman"/>
          <w:kern w:val="2"/>
          <w:sz w:val="30"/>
          <w:szCs w:val="30"/>
          <w:highlight w:val="none"/>
          <w:lang w:val="en-US" w:eastAsia="zh-CN"/>
        </w:rPr>
        <w:t>（3）</w:t>
      </w:r>
      <w:r>
        <w:rPr>
          <w:rFonts w:ascii="Times New Roman" w:hAnsi="Times New Roman"/>
          <w:kern w:val="2"/>
          <w:sz w:val="30"/>
          <w:szCs w:val="30"/>
          <w:highlight w:val="none"/>
          <w:lang w:val="en-US"/>
        </w:rPr>
        <w:t>本次</w:t>
      </w:r>
      <w:r>
        <w:rPr>
          <w:rFonts w:hint="eastAsia" w:ascii="Times New Roman" w:hAnsi="Times New Roman"/>
          <w:kern w:val="2"/>
          <w:sz w:val="30"/>
          <w:szCs w:val="30"/>
          <w:highlight w:val="none"/>
          <w:lang w:val="en-US"/>
        </w:rPr>
        <w:t>品种采购期首年预采购量</w:t>
      </w:r>
      <w:r>
        <w:rPr>
          <w:rFonts w:ascii="Times New Roman" w:hAnsi="Times New Roman"/>
          <w:kern w:val="2"/>
          <w:sz w:val="30"/>
          <w:szCs w:val="30"/>
          <w:highlight w:val="none"/>
          <w:lang w:val="en-US"/>
        </w:rPr>
        <w:t>按联盟地区</w:t>
      </w:r>
      <w:r>
        <w:rPr>
          <w:rFonts w:hint="eastAsia" w:ascii="Times New Roman" w:hAnsi="Times New Roman"/>
          <w:kern w:val="2"/>
          <w:sz w:val="30"/>
          <w:szCs w:val="30"/>
          <w:highlight w:val="none"/>
          <w:lang w:val="en-US"/>
        </w:rPr>
        <w:t>公立</w:t>
      </w:r>
      <w:r>
        <w:rPr>
          <w:rFonts w:ascii="Times New Roman" w:hAnsi="Times New Roman"/>
          <w:kern w:val="2"/>
          <w:sz w:val="30"/>
          <w:szCs w:val="30"/>
          <w:highlight w:val="none"/>
          <w:lang w:val="en-US"/>
        </w:rPr>
        <w:t>医疗机构报送的</w:t>
      </w:r>
      <w:r>
        <w:rPr>
          <w:rFonts w:hint="eastAsia" w:ascii="Times New Roman" w:hAnsi="Times New Roman"/>
          <w:kern w:val="2"/>
          <w:sz w:val="30"/>
          <w:szCs w:val="30"/>
          <w:highlight w:val="none"/>
          <w:lang w:val="en-US"/>
        </w:rPr>
        <w:t>采购期首年预采购总量</w:t>
      </w:r>
      <w:r>
        <w:rPr>
          <w:rFonts w:ascii="Times New Roman" w:hAnsi="Times New Roman"/>
          <w:kern w:val="2"/>
          <w:sz w:val="30"/>
          <w:szCs w:val="30"/>
          <w:highlight w:val="none"/>
          <w:lang w:val="en-US"/>
        </w:rPr>
        <w:t>确定，</w:t>
      </w:r>
      <w:r>
        <w:rPr>
          <w:rFonts w:hint="eastAsia" w:ascii="Times New Roman" w:hAnsi="Times New Roman"/>
          <w:kern w:val="2"/>
          <w:sz w:val="30"/>
          <w:szCs w:val="30"/>
          <w:highlight w:val="none"/>
          <w:lang w:val="en-US"/>
        </w:rPr>
        <w:t>采购单分组和代表品情况</w:t>
      </w:r>
      <w:r>
        <w:rPr>
          <w:rFonts w:ascii="Times New Roman" w:hAnsi="Times New Roman"/>
          <w:kern w:val="2"/>
          <w:sz w:val="30"/>
          <w:szCs w:val="30"/>
          <w:highlight w:val="none"/>
          <w:lang w:val="en-US"/>
        </w:rPr>
        <w:t>见</w:t>
      </w:r>
      <w:r>
        <w:rPr>
          <w:rFonts w:hint="eastAsia" w:ascii="Times New Roman" w:hAnsi="Times New Roman"/>
          <w:kern w:val="2"/>
          <w:sz w:val="30"/>
          <w:szCs w:val="30"/>
          <w:highlight w:val="none"/>
          <w:lang w:val="en-US"/>
        </w:rPr>
        <w:t>附表1</w:t>
      </w:r>
      <w:r>
        <w:rPr>
          <w:rFonts w:hint="eastAsia" w:ascii="Times New Roman" w:hAnsi="Times New Roman"/>
          <w:kern w:val="2"/>
          <w:sz w:val="30"/>
          <w:szCs w:val="30"/>
          <w:highlight w:val="none"/>
          <w:lang w:val="en-US" w:eastAsia="zh-CN"/>
        </w:rPr>
        <w:t>《药品</w:t>
      </w:r>
      <w:r>
        <w:rPr>
          <w:rFonts w:hint="eastAsia" w:ascii="Times New Roman" w:hAnsi="Times New Roman"/>
          <w:kern w:val="2"/>
          <w:sz w:val="30"/>
          <w:szCs w:val="30"/>
          <w:highlight w:val="none"/>
          <w:lang w:val="en-US"/>
        </w:rPr>
        <w:t>采购单分组及统一代表品规</w:t>
      </w:r>
      <w:r>
        <w:rPr>
          <w:rFonts w:hint="eastAsia" w:ascii="Times New Roman" w:hAnsi="Times New Roman"/>
          <w:kern w:val="2"/>
          <w:sz w:val="30"/>
          <w:szCs w:val="30"/>
          <w:highlight w:val="none"/>
          <w:lang w:val="en-US" w:eastAsia="zh-CN"/>
        </w:rPr>
        <w:t>》。</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t>六、采购执行说明</w:t>
      </w:r>
    </w:p>
    <w:p>
      <w:pPr>
        <w:spacing w:line="600" w:lineRule="exact"/>
        <w:ind w:firstLine="600" w:firstLineChars="200"/>
        <w:jc w:val="both"/>
        <w:textAlignment w:val="baseline"/>
        <w:rPr>
          <w:rFonts w:ascii="Times New Roman" w:hAnsi="Times New Roman"/>
          <w:kern w:val="2"/>
          <w:sz w:val="30"/>
          <w:szCs w:val="30"/>
          <w:highlight w:val="none"/>
        </w:rPr>
      </w:pPr>
      <w:bookmarkStart w:id="6" w:name="_Toc17748580"/>
      <w:bookmarkStart w:id="7" w:name="_Toc15364"/>
      <w:r>
        <w:rPr>
          <w:rFonts w:ascii="Times New Roman" w:hAnsi="Times New Roman"/>
          <w:kern w:val="2"/>
          <w:sz w:val="30"/>
          <w:szCs w:val="30"/>
          <w:highlight w:val="none"/>
        </w:rPr>
        <w:t>1.采购周期内，在确保完成协议采购量的基础上，医疗机构</w:t>
      </w:r>
      <w:r>
        <w:rPr>
          <w:rFonts w:hint="eastAsia" w:ascii="Times New Roman" w:hAnsi="Times New Roman"/>
          <w:kern w:val="2"/>
          <w:sz w:val="30"/>
          <w:szCs w:val="30"/>
          <w:highlight w:val="none"/>
        </w:rPr>
        <w:t>（</w:t>
      </w:r>
      <w:r>
        <w:rPr>
          <w:rFonts w:hint="eastAsia" w:ascii="Times New Roman" w:hAnsi="Times New Roman"/>
          <w:kern w:val="2"/>
          <w:sz w:val="30"/>
          <w:szCs w:val="30"/>
          <w:highlight w:val="none"/>
          <w:lang w:val="en-US"/>
        </w:rPr>
        <w:t>含未报量医疗机构</w:t>
      </w:r>
      <w:r>
        <w:rPr>
          <w:rFonts w:hint="eastAsia" w:ascii="Times New Roman" w:hAnsi="Times New Roman"/>
          <w:kern w:val="2"/>
          <w:sz w:val="30"/>
          <w:szCs w:val="30"/>
          <w:highlight w:val="none"/>
        </w:rPr>
        <w:t>）</w:t>
      </w:r>
      <w:r>
        <w:rPr>
          <w:rFonts w:ascii="Times New Roman" w:hAnsi="Times New Roman"/>
          <w:kern w:val="2"/>
          <w:sz w:val="30"/>
          <w:szCs w:val="30"/>
          <w:highlight w:val="none"/>
        </w:rPr>
        <w:t>原则上优先采购使用中选</w:t>
      </w:r>
      <w:r>
        <w:rPr>
          <w:rFonts w:hint="eastAsia" w:ascii="Times New Roman" w:hAnsi="Times New Roman"/>
          <w:kern w:val="2"/>
          <w:sz w:val="30"/>
          <w:szCs w:val="30"/>
          <w:highlight w:val="none"/>
          <w:lang w:val="en-US"/>
        </w:rPr>
        <w:t>产</w:t>
      </w:r>
      <w:r>
        <w:rPr>
          <w:rFonts w:ascii="Times New Roman" w:hAnsi="Times New Roman"/>
          <w:kern w:val="2"/>
          <w:sz w:val="30"/>
          <w:szCs w:val="30"/>
          <w:highlight w:val="none"/>
        </w:rPr>
        <w:t>品</w:t>
      </w:r>
      <w:r>
        <w:rPr>
          <w:rFonts w:hint="eastAsia" w:ascii="Times New Roman" w:hAnsi="Times New Roman"/>
          <w:kern w:val="2"/>
          <w:sz w:val="30"/>
          <w:szCs w:val="30"/>
          <w:highlight w:val="none"/>
        </w:rPr>
        <w:t>，</w:t>
      </w:r>
      <w:r>
        <w:rPr>
          <w:rFonts w:hint="eastAsia" w:ascii="Times New Roman" w:hAnsi="Times New Roman"/>
          <w:kern w:val="2"/>
          <w:sz w:val="30"/>
          <w:szCs w:val="30"/>
          <w:highlight w:val="none"/>
          <w:lang w:val="en-US"/>
        </w:rPr>
        <w:t>其</w:t>
      </w:r>
      <w:r>
        <w:rPr>
          <w:rFonts w:ascii="Times New Roman" w:hAnsi="Times New Roman"/>
          <w:kern w:val="2"/>
          <w:sz w:val="30"/>
          <w:szCs w:val="30"/>
          <w:highlight w:val="none"/>
        </w:rPr>
        <w:t>使用比例</w:t>
      </w:r>
      <w:r>
        <w:rPr>
          <w:rFonts w:hint="eastAsia" w:ascii="Times New Roman" w:hAnsi="Times New Roman"/>
          <w:kern w:val="2"/>
          <w:sz w:val="30"/>
          <w:szCs w:val="30"/>
          <w:highlight w:val="none"/>
          <w:lang w:val="en-US"/>
        </w:rPr>
        <w:t>不低于70</w:t>
      </w:r>
      <w:r>
        <w:rPr>
          <w:rFonts w:ascii="Times New Roman" w:hAnsi="Times New Roman"/>
          <w:kern w:val="2"/>
          <w:sz w:val="30"/>
          <w:szCs w:val="30"/>
          <w:highlight w:val="none"/>
        </w:rPr>
        <w:t>%</w:t>
      </w:r>
      <w:r>
        <w:rPr>
          <w:rFonts w:hint="eastAsia" w:ascii="Times New Roman" w:hAnsi="Times New Roman"/>
          <w:kern w:val="2"/>
          <w:sz w:val="30"/>
          <w:szCs w:val="30"/>
          <w:highlight w:val="none"/>
        </w:rPr>
        <w:t>。</w:t>
      </w:r>
    </w:p>
    <w:p>
      <w:pPr>
        <w:pStyle w:val="2"/>
        <w:spacing w:line="600" w:lineRule="exact"/>
        <w:ind w:firstLine="600" w:firstLineChars="200"/>
        <w:rPr>
          <w:rFonts w:hint="default" w:ascii="Times New Roman" w:hAnsi="Times New Roman" w:eastAsia="仿宋" w:cs="仿宋"/>
          <w:color w:val="auto"/>
          <w:kern w:val="2"/>
          <w:sz w:val="30"/>
          <w:szCs w:val="30"/>
          <w:highlight w:val="none"/>
          <w:lang w:val="zh-CN" w:bidi="zh-CN"/>
        </w:rPr>
      </w:pPr>
      <w:r>
        <w:rPr>
          <w:rFonts w:ascii="Times New Roman" w:hAnsi="Times New Roman" w:eastAsia="仿宋" w:cs="仿宋"/>
          <w:color w:val="auto"/>
          <w:kern w:val="2"/>
          <w:sz w:val="30"/>
          <w:szCs w:val="30"/>
          <w:highlight w:val="none"/>
          <w:lang w:val="zh-CN" w:bidi="zh-CN"/>
        </w:rPr>
        <w:t>2.</w:t>
      </w:r>
      <w:r>
        <w:rPr>
          <w:rFonts w:hint="default" w:ascii="Times New Roman" w:hAnsi="Times New Roman" w:eastAsia="仿宋" w:cs="仿宋"/>
          <w:color w:val="auto"/>
          <w:kern w:val="2"/>
          <w:sz w:val="30"/>
          <w:szCs w:val="30"/>
          <w:highlight w:val="none"/>
          <w:lang w:val="zh-CN" w:bidi="zh-CN"/>
        </w:rPr>
        <w:t>医保定点社会办医疗机构</w:t>
      </w:r>
      <w:r>
        <w:rPr>
          <w:rFonts w:ascii="Times New Roman" w:hAnsi="Times New Roman" w:eastAsia="仿宋" w:cs="仿宋"/>
          <w:color w:val="auto"/>
          <w:kern w:val="2"/>
          <w:sz w:val="30"/>
          <w:szCs w:val="30"/>
          <w:highlight w:val="none"/>
          <w:lang w:val="zh-CN" w:bidi="zh-CN"/>
        </w:rPr>
        <w:t>和</w:t>
      </w:r>
      <w:r>
        <w:rPr>
          <w:rFonts w:hint="default" w:ascii="Times New Roman" w:hAnsi="Times New Roman" w:eastAsia="仿宋" w:cs="仿宋"/>
          <w:color w:val="auto"/>
          <w:kern w:val="2"/>
          <w:sz w:val="30"/>
          <w:szCs w:val="30"/>
          <w:highlight w:val="none"/>
          <w:lang w:val="zh-CN" w:bidi="zh-CN"/>
        </w:rPr>
        <w:t>定点药店的采购量由供需双方按采购协议的约定执行。</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t>七、采购文件获取方式</w:t>
      </w:r>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bookmarkStart w:id="8" w:name="_Toc17748581"/>
      <w:bookmarkStart w:id="9" w:name="_Toc30614"/>
      <w:r>
        <w:rPr>
          <w:rFonts w:ascii="Times New Roman" w:hAnsi="Times New Roman" w:cs="Times New Roman"/>
          <w:color w:val="000000" w:themeColor="text1"/>
          <w:kern w:val="2"/>
          <w:sz w:val="30"/>
          <w:szCs w:val="30"/>
          <w:highlight w:val="none"/>
          <w:lang w:val="en-US" w:bidi="ar-SA"/>
          <w14:textFill>
            <w14:solidFill>
              <w14:schemeClr w14:val="tx1"/>
            </w14:solidFill>
          </w14:textFill>
        </w:rPr>
        <w:t>可通过广东省第三方药品电子交易平台（www. gdmede.com.cn）（以下简称省平台）下载相关文件。</w:t>
      </w:r>
      <w:bookmarkEnd w:id="6"/>
      <w:bookmarkEnd w:id="7"/>
      <w:bookmarkEnd w:id="8"/>
      <w:bookmarkEnd w:id="9"/>
      <w:bookmarkStart w:id="10" w:name="_Toc57277289"/>
      <w:bookmarkStart w:id="11" w:name="_Toc30815"/>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t>八、报名方式和截止时间</w:t>
      </w:r>
      <w:bookmarkEnd w:id="10"/>
      <w:bookmarkEnd w:id="11"/>
    </w:p>
    <w:p>
      <w:pPr>
        <w:autoSpaceDE/>
        <w:autoSpaceDN/>
        <w:spacing w:line="560" w:lineRule="exact"/>
        <w:ind w:firstLine="600" w:firstLineChars="200"/>
        <w:jc w:val="both"/>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本次药品</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联盟地区集团带量采购，申报企业按报名通知（另行发布）要求，在规定时间内登录省平台（www. gdmede.com.cn）药品交易系统提交报名。</w:t>
      </w:r>
      <w:bookmarkStart w:id="12" w:name="_Toc57277290"/>
      <w:bookmarkStart w:id="13" w:name="_Toc27314"/>
      <w:bookmarkStart w:id="14" w:name="_Toc17748584"/>
      <w:bookmarkStart w:id="15" w:name="_Toc28009"/>
    </w:p>
    <w:p>
      <w:pPr>
        <w:spacing w:line="600" w:lineRule="exact"/>
        <w:ind w:firstLine="600"/>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t>九、报价安排和时间</w:t>
      </w:r>
      <w:bookmarkEnd w:id="12"/>
      <w:bookmarkEnd w:id="13"/>
    </w:p>
    <w:p>
      <w:pPr>
        <w:spacing w:line="600" w:lineRule="exact"/>
        <w:ind w:firstLine="600"/>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本次药品</w:t>
      </w:r>
      <w:r>
        <w:rPr>
          <w:rFonts w:ascii="Times New Roman" w:hAnsi="Times New Roman" w:cs="Times New Roman"/>
          <w:color w:val="000000" w:themeColor="text1"/>
          <w:kern w:val="2"/>
          <w:sz w:val="30"/>
          <w:szCs w:val="30"/>
          <w:highlight w:val="none"/>
          <w:lang w:val="en-US" w:bidi="ar-SA"/>
          <w14:textFill>
            <w14:solidFill>
              <w14:schemeClr w14:val="tx1"/>
            </w14:solidFill>
          </w14:textFill>
        </w:rPr>
        <w:t>联盟地区集团带量采购采取线上报价方式，申报企业按报价通知（另行发布）要求，在规定时间内登录省平台（www. gdmede.com.cn）药品交易系统进行报价。</w:t>
      </w:r>
      <w:bookmarkStart w:id="16" w:name="_Toc57277292"/>
      <w:bookmarkStart w:id="17" w:name="_Toc25770"/>
    </w:p>
    <w:p>
      <w:pPr>
        <w:spacing w:line="600" w:lineRule="exact"/>
        <w:ind w:firstLine="600"/>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t>十、信息公开方式</w:t>
      </w:r>
      <w:bookmarkEnd w:id="16"/>
      <w:bookmarkEnd w:id="17"/>
    </w:p>
    <w:p>
      <w:pPr>
        <w:spacing w:line="600" w:lineRule="exact"/>
        <w:ind w:firstLine="600"/>
        <w:rPr>
          <w:rFonts w:ascii="Times New Roman" w:hAnsi="Times New Roman" w:cs="Times New Roman"/>
          <w:color w:val="000000" w:themeColor="text1"/>
          <w:kern w:val="2"/>
          <w:sz w:val="30"/>
          <w:szCs w:val="30"/>
          <w:highlight w:val="none"/>
          <w:lang w:val="en-US" w:bidi="ar-SA"/>
          <w14:textFill>
            <w14:solidFill>
              <w14:schemeClr w14:val="tx1"/>
            </w14:solidFill>
          </w14:textFill>
        </w:rPr>
      </w:pPr>
      <w:r>
        <w:rPr>
          <w:rFonts w:ascii="Times New Roman" w:hAnsi="Times New Roman" w:cs="Times New Roman"/>
          <w:color w:val="000000" w:themeColor="text1"/>
          <w:kern w:val="2"/>
          <w:sz w:val="30"/>
          <w:szCs w:val="30"/>
          <w:highlight w:val="none"/>
          <w:lang w:val="en-US" w:bidi="ar-SA"/>
          <w14:textFill>
            <w14:solidFill>
              <w14:schemeClr w14:val="tx1"/>
            </w14:solidFill>
          </w14:textFill>
        </w:rPr>
        <w:t>通过省平台（www. gdmede.com.cn）发布采购相关通知，敬请留意。</w:t>
      </w:r>
      <w:bookmarkStart w:id="18" w:name="_Toc24445"/>
      <w:bookmarkEnd w:id="18"/>
      <w:bookmarkStart w:id="19" w:name="_Toc17748583"/>
      <w:bookmarkEnd w:id="19"/>
      <w:bookmarkStart w:id="20" w:name="_Toc57277293"/>
      <w:bookmarkStart w:id="21" w:name="_Toc12085"/>
    </w:p>
    <w:p>
      <w:pPr>
        <w:spacing w:line="600" w:lineRule="exact"/>
        <w:ind w:firstLine="600"/>
        <w:rPr>
          <w:rFonts w:ascii="Times New Roman" w:hAnsi="Times New Roman" w:eastAsia="黑体" w:cs="Times New Roman"/>
          <w:kern w:val="2"/>
          <w:sz w:val="30"/>
          <w:szCs w:val="30"/>
          <w:highlight w:val="none"/>
          <w:lang w:val="en-US" w:bidi="ar-SA"/>
        </w:rPr>
      </w:pPr>
      <w:r>
        <w:rPr>
          <w:rFonts w:ascii="Times New Roman" w:hAnsi="Times New Roman" w:eastAsia="黑体" w:cs="Times New Roman"/>
          <w:kern w:val="2"/>
          <w:sz w:val="30"/>
          <w:szCs w:val="30"/>
          <w:highlight w:val="none"/>
          <w:lang w:val="en-US" w:bidi="ar-SA"/>
        </w:rPr>
        <w:t>十一、联系方式</w:t>
      </w:r>
      <w:bookmarkEnd w:id="14"/>
      <w:bookmarkEnd w:id="15"/>
      <w:bookmarkEnd w:id="20"/>
      <w:bookmarkEnd w:id="21"/>
    </w:p>
    <w:p>
      <w:pPr>
        <w:spacing w:line="600" w:lineRule="exact"/>
        <w:ind w:firstLine="600"/>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名称：广东省药品交易中心</w:t>
      </w:r>
    </w:p>
    <w:p>
      <w:pPr>
        <w:spacing w:line="600" w:lineRule="exact"/>
        <w:ind w:firstLine="600"/>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地址：广州市越秀区环市东路华侨新村光明路28号3A楼</w:t>
      </w:r>
    </w:p>
    <w:p>
      <w:pPr>
        <w:spacing w:line="600" w:lineRule="exact"/>
        <w:ind w:firstLine="600"/>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 xml:space="preserve">邮编：510095 </w:t>
      </w:r>
    </w:p>
    <w:p>
      <w:pPr>
        <w:spacing w:line="600" w:lineRule="exact"/>
        <w:ind w:firstLine="600"/>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电话：020-38036183、020-38036197</w:t>
      </w:r>
    </w:p>
    <w:p>
      <w:pPr>
        <w:spacing w:line="600" w:lineRule="exact"/>
        <w:ind w:firstLine="600"/>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传真：020-38830256</w:t>
      </w:r>
      <w:bookmarkStart w:id="22" w:name="_Toc17748585"/>
      <w:bookmarkEnd w:id="22"/>
      <w:bookmarkStart w:id="23" w:name="_Toc15032"/>
      <w:bookmarkEnd w:id="23"/>
    </w:p>
    <w:p>
      <w:pPr>
        <w:spacing w:line="600" w:lineRule="exact"/>
        <w:ind w:firstLine="600"/>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在线咨询：广东省药品交易中心官网在线客服。</w:t>
      </w:r>
      <w:bookmarkStart w:id="24" w:name="_Toc29485"/>
      <w:bookmarkStart w:id="25" w:name="_Toc57277294"/>
    </w:p>
    <w:p>
      <w:pPr>
        <w:spacing w:line="600" w:lineRule="exact"/>
        <w:ind w:firstLine="600"/>
        <w:rPr>
          <w:rFonts w:ascii="Times New Roman" w:hAnsi="Times New Roman" w:eastAsia="黑体" w:cs="Times New Roman"/>
          <w:kern w:val="2"/>
          <w:sz w:val="30"/>
          <w:szCs w:val="30"/>
          <w:highlight w:val="none"/>
          <w:lang w:val="en-US" w:bidi="ar-SA"/>
        </w:rPr>
      </w:pPr>
      <w:r>
        <w:rPr>
          <w:rFonts w:ascii="Times New Roman" w:hAnsi="Times New Roman" w:eastAsia="黑体" w:cs="Times New Roman"/>
          <w:kern w:val="2"/>
          <w:sz w:val="30"/>
          <w:szCs w:val="30"/>
          <w:highlight w:val="none"/>
          <w:lang w:val="en-US" w:bidi="ar-SA"/>
        </w:rPr>
        <w:t>十二、其他</w:t>
      </w:r>
      <w:bookmarkEnd w:id="24"/>
      <w:bookmarkEnd w:id="25"/>
    </w:p>
    <w:p>
      <w:pPr>
        <w:spacing w:line="600" w:lineRule="exact"/>
        <w:ind w:firstLine="600"/>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本次药品</w:t>
      </w:r>
      <w:r>
        <w:rPr>
          <w:rFonts w:ascii="Times New Roman" w:hAnsi="Times New Roman" w:cs="Times New Roman"/>
          <w:kern w:val="2"/>
          <w:sz w:val="30"/>
          <w:szCs w:val="30"/>
          <w:highlight w:val="none"/>
          <w:lang w:val="en-US" w:bidi="ar-SA"/>
        </w:rPr>
        <w:t>联盟地区集团带量采购结果执行时间等事项由联盟地区各省自行公布。</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sectPr>
          <w:headerReference r:id="rId3" w:type="default"/>
          <w:footerReference r:id="rId4" w:type="default"/>
          <w:pgSz w:w="11910" w:h="16840"/>
          <w:pgMar w:top="1580" w:right="1040" w:bottom="1220" w:left="1300" w:header="1145" w:footer="1035" w:gutter="0"/>
          <w:pgNumType w:fmt="numberInDash" w:start="1"/>
          <w:cols w:space="720" w:num="1"/>
        </w:sectPr>
      </w:pPr>
    </w:p>
    <w:p>
      <w:pPr>
        <w:keepNext/>
        <w:keepLines/>
        <w:widowControl/>
        <w:autoSpaceDE/>
        <w:autoSpaceDN/>
        <w:spacing w:after="160" w:line="560" w:lineRule="exact"/>
        <w:jc w:val="center"/>
        <w:outlineLvl w:val="0"/>
        <w:rPr>
          <w:rFonts w:ascii="Times New Roman" w:hAnsi="Times New Roman" w:cs="Times New Roman"/>
          <w:b/>
          <w:kern w:val="44"/>
          <w:sz w:val="36"/>
          <w:szCs w:val="36"/>
          <w:highlight w:val="none"/>
          <w:lang w:val="en-US" w:bidi="ar-SA"/>
        </w:rPr>
      </w:pPr>
      <w:bookmarkStart w:id="26" w:name="_bookmark11"/>
      <w:bookmarkEnd w:id="26"/>
      <w:bookmarkStart w:id="27" w:name="_Toc16439"/>
      <w:r>
        <w:rPr>
          <w:rFonts w:ascii="Times New Roman" w:hAnsi="Times New Roman" w:eastAsia="华文中宋" w:cs="Times New Roman"/>
          <w:bCs/>
          <w:kern w:val="44"/>
          <w:sz w:val="36"/>
          <w:szCs w:val="36"/>
          <w:highlight w:val="none"/>
          <w:lang w:val="en-US" w:bidi="ar-SA"/>
        </w:rPr>
        <w:t>第二部分 申报企业须知</w:t>
      </w:r>
      <w:bookmarkEnd w:id="27"/>
    </w:p>
    <w:p>
      <w:pPr>
        <w:spacing w:line="600" w:lineRule="exact"/>
        <w:ind w:firstLine="600"/>
        <w:rPr>
          <w:rFonts w:ascii="Times New Roman" w:hAnsi="Times New Roman" w:eastAsia="黑体" w:cs="Times New Roman"/>
          <w:kern w:val="2"/>
          <w:sz w:val="30"/>
          <w:szCs w:val="30"/>
          <w:highlight w:val="none"/>
          <w:lang w:val="en-US" w:bidi="ar-SA"/>
        </w:rPr>
      </w:pPr>
      <w:bookmarkStart w:id="28" w:name="一、集中采购当事人"/>
      <w:bookmarkEnd w:id="28"/>
      <w:bookmarkStart w:id="29" w:name="_bookmark12"/>
      <w:bookmarkEnd w:id="29"/>
      <w:r>
        <w:rPr>
          <w:rFonts w:ascii="Times New Roman" w:hAnsi="Times New Roman" w:eastAsia="黑体" w:cs="Times New Roman"/>
          <w:kern w:val="2"/>
          <w:sz w:val="30"/>
          <w:szCs w:val="30"/>
          <w:highlight w:val="none"/>
          <w:lang w:val="en-US" w:bidi="ar-SA"/>
        </w:rPr>
        <w:t>一、集团带量采购当事人</w:t>
      </w:r>
    </w:p>
    <w:p>
      <w:pPr>
        <w:autoSpaceDE/>
        <w:autoSpaceDN/>
        <w:spacing w:line="560" w:lineRule="exact"/>
        <w:ind w:firstLine="602" w:firstLineChars="200"/>
        <w:jc w:val="both"/>
        <w:rPr>
          <w:rFonts w:ascii="Times New Roman" w:hAnsi="Times New Roman" w:cs="Times New Roman"/>
          <w:b/>
          <w:bCs/>
          <w:kern w:val="2"/>
          <w:sz w:val="30"/>
          <w:szCs w:val="30"/>
          <w:highlight w:val="none"/>
          <w:lang w:val="en-US" w:bidi="ar-SA"/>
        </w:rPr>
      </w:pPr>
      <w:bookmarkStart w:id="30" w:name="1.申报企业"/>
      <w:bookmarkEnd w:id="30"/>
      <w:r>
        <w:rPr>
          <w:rFonts w:ascii="Times New Roman" w:hAnsi="Times New Roman" w:cs="Times New Roman"/>
          <w:b/>
          <w:bCs/>
          <w:kern w:val="2"/>
          <w:sz w:val="30"/>
          <w:szCs w:val="30"/>
          <w:highlight w:val="none"/>
          <w:lang w:val="en-US" w:bidi="ar-SA"/>
        </w:rPr>
        <w:t>（一）申报企业</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1.申报企业参加药品集团带量采购活动应当具备以下条件：</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（1）具有履行协议必须具备的能力；</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（2）参加本次药品集团带量采购活动前两年内，在药品生产活动中无严重违法记录；</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（3）在《国家医疗保障局关于建立医药价格和招采信用评价制度 的指导意见》（医保发〔2020〕34 号）、《国家医保局医药价格和招标采购指导中心关于印发医药价格和招采信用评价的操作规范（2020 版）的通知》（医保价采中心函〔2020〕24 号）和《国家医保局医药价格和招标采购指导中心关于印发医药价格和招采信用评级的裁量基准（2020 版）的通知》（医保价采中心函〔2020〕25 号）印发后，申报企业在药品生产经营活动中，无上述文件所指的严重、特别严重的失信行为；</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（4）</w:t>
      </w:r>
      <w:r>
        <w:rPr>
          <w:rFonts w:ascii="Times New Roman" w:hAnsi="Times New Roman" w:cs="Times New Roman"/>
          <w:kern w:val="2"/>
          <w:sz w:val="30"/>
          <w:szCs w:val="30"/>
          <w:highlight w:val="none"/>
          <w:lang w:val="en-US" w:bidi="ar-SA"/>
        </w:rPr>
        <w:t>对药品的质量负责，一旦中选，作为供应保障的第一责任人，及时、足量按要求组织生产，并向配送企业发送药品，满足医疗机构临床用药需求。</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2.申报企业应按照采购文件的要求提交申报材料，申报材料应对采购文件提出的要求和条件做出响应。</w:t>
      </w:r>
    </w:p>
    <w:p>
      <w:pPr>
        <w:autoSpaceDE/>
        <w:autoSpaceDN/>
        <w:spacing w:line="560" w:lineRule="exact"/>
        <w:ind w:firstLine="602" w:firstLineChars="200"/>
        <w:jc w:val="both"/>
        <w:rPr>
          <w:rFonts w:ascii="Times New Roman" w:hAnsi="Times New Roman" w:cs="Times New Roman"/>
          <w:b/>
          <w:bCs/>
          <w:kern w:val="2"/>
          <w:sz w:val="30"/>
          <w:szCs w:val="30"/>
          <w:highlight w:val="none"/>
          <w:lang w:val="en-US" w:bidi="ar-SA"/>
        </w:rPr>
      </w:pPr>
      <w:bookmarkStart w:id="31" w:name="2.其他要求"/>
      <w:bookmarkEnd w:id="31"/>
      <w:r>
        <w:rPr>
          <w:rFonts w:ascii="Times New Roman" w:hAnsi="Times New Roman" w:cs="Times New Roman"/>
          <w:b/>
          <w:bCs/>
          <w:kern w:val="2"/>
          <w:sz w:val="30"/>
          <w:szCs w:val="30"/>
          <w:highlight w:val="none"/>
          <w:lang w:val="en-US" w:bidi="ar-SA"/>
        </w:rPr>
        <w:t>（二）其他要求</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1</w:t>
      </w:r>
      <w:r>
        <w:rPr>
          <w:rFonts w:ascii="Times New Roman" w:hAnsi="Times New Roman" w:cs="Times New Roman"/>
          <w:kern w:val="2"/>
          <w:sz w:val="30"/>
          <w:szCs w:val="30"/>
          <w:highlight w:val="none"/>
          <w:lang w:val="en-US" w:bidi="ar-SA"/>
        </w:rPr>
        <w:t>.申报品种在本次药品集团带量采购活动前两年内不存在省级（含） 以上药品监督管理部门质量检验不合格情况。</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2.</w:t>
      </w:r>
      <w:r>
        <w:rPr>
          <w:rFonts w:ascii="Times New Roman" w:hAnsi="Times New Roman" w:cs="Times New Roman"/>
          <w:kern w:val="2"/>
          <w:sz w:val="30"/>
          <w:szCs w:val="30"/>
          <w:highlight w:val="none"/>
          <w:lang w:val="en-US" w:bidi="ar-SA"/>
        </w:rPr>
        <w:t>本次药品集团带量采购供应的药品，应是临床常用包装。</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3</w:t>
      </w:r>
      <w:r>
        <w:rPr>
          <w:rFonts w:ascii="Times New Roman" w:hAnsi="Times New Roman" w:cs="Times New Roman"/>
          <w:kern w:val="2"/>
          <w:sz w:val="30"/>
          <w:szCs w:val="30"/>
          <w:highlight w:val="none"/>
          <w:lang w:val="en-US" w:bidi="ar-SA"/>
        </w:rPr>
        <w:t>.申报企业中选后，须按联盟地区主管部门要求签订购销协议。</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4</w:t>
      </w:r>
      <w:r>
        <w:rPr>
          <w:rFonts w:ascii="Times New Roman" w:hAnsi="Times New Roman" w:cs="Times New Roman"/>
          <w:kern w:val="2"/>
          <w:sz w:val="30"/>
          <w:szCs w:val="30"/>
          <w:highlight w:val="none"/>
          <w:lang w:val="en-US" w:bidi="ar-SA"/>
        </w:rPr>
        <w:t>.中选药品在履行协议中如遇国家政策调整或不可抗力，致使直接影响协议履行的，由签订购销协议中的各方协商解决。</w:t>
      </w:r>
    </w:p>
    <w:p>
      <w:pPr>
        <w:spacing w:line="600" w:lineRule="exact"/>
        <w:ind w:firstLine="600"/>
        <w:rPr>
          <w:rFonts w:ascii="Times New Roman" w:hAnsi="Times New Roman" w:eastAsia="黑体" w:cs="Times New Roman"/>
          <w:kern w:val="2"/>
          <w:sz w:val="30"/>
          <w:szCs w:val="30"/>
          <w:highlight w:val="none"/>
          <w:lang w:val="en-US" w:bidi="ar-SA"/>
        </w:rPr>
      </w:pPr>
      <w:r>
        <w:rPr>
          <w:rFonts w:ascii="Times New Roman" w:hAnsi="Times New Roman" w:eastAsia="黑体" w:cs="Times New Roman"/>
          <w:kern w:val="2"/>
          <w:sz w:val="30"/>
          <w:szCs w:val="30"/>
          <w:highlight w:val="none"/>
          <w:lang w:val="en-US" w:bidi="ar-SA"/>
        </w:rPr>
        <w:t>二、申报材料</w:t>
      </w:r>
      <w:bookmarkStart w:id="32" w:name="3.编制要求"/>
      <w:bookmarkEnd w:id="32"/>
      <w:bookmarkStart w:id="33" w:name="_bookmark13"/>
      <w:bookmarkEnd w:id="33"/>
      <w:bookmarkStart w:id="34" w:name="二、申报材料编制"/>
      <w:bookmarkEnd w:id="34"/>
    </w:p>
    <w:p>
      <w:pPr>
        <w:autoSpaceDE/>
        <w:autoSpaceDN/>
        <w:spacing w:line="560" w:lineRule="exact"/>
        <w:ind w:firstLine="602" w:firstLineChars="200"/>
        <w:jc w:val="both"/>
        <w:rPr>
          <w:rFonts w:ascii="Times New Roman" w:hAnsi="Times New Roman" w:cs="Times New Roman"/>
          <w:b/>
          <w:bCs/>
          <w:kern w:val="2"/>
          <w:sz w:val="30"/>
          <w:szCs w:val="30"/>
          <w:highlight w:val="none"/>
          <w:lang w:val="en-US" w:bidi="ar-SA"/>
        </w:rPr>
      </w:pPr>
      <w:r>
        <w:rPr>
          <w:rFonts w:ascii="Times New Roman" w:hAnsi="Times New Roman" w:cs="Times New Roman"/>
          <w:b/>
          <w:bCs/>
          <w:kern w:val="2"/>
          <w:sz w:val="30"/>
          <w:szCs w:val="30"/>
          <w:highlight w:val="none"/>
          <w:lang w:val="en-US" w:bidi="ar-SA"/>
        </w:rPr>
        <w:t>（一）材料要求</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申报企业应仔细阅读采购文件中的所有内容，按采购文件的要求提供申报材料，并保证所提供的全部材料真实有效。申报材料中涉及到的证书、证明材料等，必须在产品报名当天仍在有效期内。若因申报企业没有按照采购文件的要求提交完整材料，或因申报材料没有对采购文件做出响应、申报材料内容不实等因素影响中选结果的，由申报企业负责。</w:t>
      </w:r>
    </w:p>
    <w:p>
      <w:pPr>
        <w:autoSpaceDE/>
        <w:autoSpaceDN/>
        <w:spacing w:line="560" w:lineRule="exact"/>
        <w:ind w:firstLine="602" w:firstLineChars="200"/>
        <w:jc w:val="both"/>
        <w:rPr>
          <w:rFonts w:ascii="Times New Roman" w:hAnsi="Times New Roman" w:cs="Times New Roman"/>
          <w:b/>
          <w:bCs/>
          <w:kern w:val="2"/>
          <w:sz w:val="30"/>
          <w:szCs w:val="30"/>
          <w:highlight w:val="none"/>
          <w:lang w:val="en-US" w:bidi="ar-SA"/>
        </w:rPr>
      </w:pPr>
      <w:bookmarkStart w:id="35" w:name="4.申报语言、计量单位和药品名称、药品规格表示"/>
      <w:bookmarkEnd w:id="35"/>
      <w:r>
        <w:rPr>
          <w:rFonts w:ascii="Times New Roman" w:hAnsi="Times New Roman" w:cs="Times New Roman"/>
          <w:b/>
          <w:bCs/>
          <w:kern w:val="2"/>
          <w:sz w:val="30"/>
          <w:szCs w:val="30"/>
          <w:highlight w:val="none"/>
          <w:lang w:val="en-US" w:bidi="ar-SA"/>
        </w:rPr>
        <w:t>（二）申报语言、计量单位和药品名称、药品规格表示</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1.申报企业与省药交中心就申报递交的材料、交换的文件和来往</w:t>
      </w:r>
      <w:r>
        <w:rPr>
          <w:rFonts w:hint="eastAsia" w:ascii="Times New Roman" w:hAnsi="Times New Roman" w:cs="Times New Roman"/>
          <w:kern w:val="2"/>
          <w:sz w:val="30"/>
          <w:szCs w:val="30"/>
          <w:highlight w:val="none"/>
          <w:lang w:val="en-US" w:eastAsia="zh-CN" w:bidi="ar-SA"/>
        </w:rPr>
        <w:t>电子邮件、信函</w:t>
      </w:r>
      <w:r>
        <w:rPr>
          <w:rFonts w:ascii="Times New Roman" w:hAnsi="Times New Roman" w:cs="Times New Roman"/>
          <w:kern w:val="2"/>
          <w:sz w:val="30"/>
          <w:szCs w:val="30"/>
          <w:highlight w:val="none"/>
          <w:lang w:val="en-US" w:bidi="ar-SA"/>
        </w:rPr>
        <w:t>，一律以中文书写。</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2.除申报材料中对技术规格另有规定外，应使用中华人民共和国法定计量单位和有关部门规定的药品名称、药品规格表示方法。</w:t>
      </w:r>
    </w:p>
    <w:p>
      <w:pPr>
        <w:autoSpaceDE/>
        <w:autoSpaceDN/>
        <w:spacing w:line="560" w:lineRule="exact"/>
        <w:ind w:firstLine="602" w:firstLineChars="200"/>
        <w:jc w:val="both"/>
        <w:rPr>
          <w:rFonts w:ascii="Times New Roman" w:hAnsi="Times New Roman" w:cs="Times New Roman"/>
          <w:b/>
          <w:bCs/>
          <w:kern w:val="2"/>
          <w:sz w:val="30"/>
          <w:szCs w:val="30"/>
          <w:highlight w:val="none"/>
          <w:lang w:val="en-US" w:bidi="ar-SA"/>
        </w:rPr>
      </w:pPr>
      <w:bookmarkStart w:id="36" w:name="5.纸质申报材料的构成和装订顺序"/>
      <w:bookmarkEnd w:id="36"/>
      <w:r>
        <w:rPr>
          <w:rFonts w:ascii="Times New Roman" w:hAnsi="Times New Roman" w:cs="Times New Roman"/>
          <w:b/>
          <w:bCs/>
          <w:kern w:val="2"/>
          <w:sz w:val="30"/>
          <w:szCs w:val="30"/>
          <w:highlight w:val="none"/>
          <w:lang w:val="en-US" w:bidi="ar-SA"/>
        </w:rPr>
        <w:t>（三）申报材料的构成</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申报材料须在规定时间内通过省平台药品交易系统网上提交，构成如下（每页均需加盖企业公章）：</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1.医药企业价格和营销行为信用承诺书（附件1）；</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2.企业及产品资质材料（以企业按照省平台报名资质要求在药品交易系统维护提交的有效材料为准）；</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3.药品符合“申报品种资格”的相关证明材料；</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4</w:t>
      </w:r>
      <w:r>
        <w:rPr>
          <w:rFonts w:ascii="Times New Roman" w:hAnsi="Times New Roman" w:cs="Times New Roman"/>
          <w:kern w:val="2"/>
          <w:sz w:val="30"/>
          <w:szCs w:val="30"/>
          <w:highlight w:val="none"/>
          <w:lang w:val="en-US" w:bidi="ar-SA"/>
        </w:rPr>
        <w:t>.</w:t>
      </w:r>
      <w:r>
        <w:rPr>
          <w:rFonts w:hint="eastAsia" w:ascii="Times New Roman" w:hAnsi="Times New Roman" w:cs="Times New Roman"/>
          <w:kern w:val="2"/>
          <w:sz w:val="30"/>
          <w:szCs w:val="30"/>
          <w:highlight w:val="none"/>
          <w:lang w:val="en-US" w:bidi="ar-SA"/>
        </w:rPr>
        <w:t>根据省平台发布的</w:t>
      </w:r>
      <w:r>
        <w:rPr>
          <w:rFonts w:hint="eastAsia" w:ascii="Times New Roman" w:hAnsi="Times New Roman" w:cs="Times New Roman"/>
          <w:kern w:val="2"/>
          <w:sz w:val="30"/>
          <w:szCs w:val="30"/>
          <w:highlight w:val="none"/>
          <w:lang w:val="en-US" w:eastAsia="zh-CN" w:bidi="ar-SA"/>
        </w:rPr>
        <w:t>公告</w:t>
      </w:r>
      <w:r>
        <w:rPr>
          <w:rFonts w:hint="eastAsia" w:ascii="Times New Roman" w:hAnsi="Times New Roman" w:cs="Times New Roman"/>
          <w:kern w:val="2"/>
          <w:sz w:val="30"/>
          <w:szCs w:val="30"/>
          <w:highlight w:val="none"/>
          <w:lang w:val="en-US" w:bidi="ar-SA"/>
        </w:rPr>
        <w:t>要求，企业</w:t>
      </w:r>
      <w:r>
        <w:rPr>
          <w:rFonts w:hint="eastAsia" w:ascii="Times New Roman" w:hAnsi="Times New Roman" w:cs="Times New Roman"/>
          <w:kern w:val="2"/>
          <w:sz w:val="30"/>
          <w:szCs w:val="30"/>
          <w:highlight w:val="none"/>
          <w:lang w:val="en-US" w:eastAsia="zh-CN" w:bidi="ar-SA"/>
        </w:rPr>
        <w:t>提交</w:t>
      </w:r>
      <w:r>
        <w:rPr>
          <w:rFonts w:hint="eastAsia" w:ascii="Times New Roman" w:hAnsi="Times New Roman" w:cs="Times New Roman"/>
          <w:kern w:val="2"/>
          <w:sz w:val="30"/>
          <w:szCs w:val="30"/>
          <w:highlight w:val="none"/>
          <w:lang w:val="en-US" w:bidi="ar-SA"/>
        </w:rPr>
        <w:t>全国最低价格信息的相关证明材料。</w:t>
      </w:r>
    </w:p>
    <w:p>
      <w:pPr>
        <w:autoSpaceDE/>
        <w:autoSpaceDN/>
        <w:spacing w:line="560" w:lineRule="exact"/>
        <w:ind w:firstLine="602" w:firstLineChars="200"/>
        <w:jc w:val="both"/>
        <w:rPr>
          <w:rFonts w:ascii="Times New Roman" w:hAnsi="Times New Roman" w:cs="Times New Roman"/>
          <w:b/>
          <w:bCs/>
          <w:kern w:val="2"/>
          <w:sz w:val="30"/>
          <w:szCs w:val="30"/>
          <w:highlight w:val="none"/>
          <w:lang w:val="en-US" w:bidi="ar-SA"/>
        </w:rPr>
      </w:pPr>
      <w:r>
        <w:rPr>
          <w:rFonts w:ascii="Times New Roman" w:hAnsi="Times New Roman" w:cs="Times New Roman"/>
          <w:b/>
          <w:bCs/>
          <w:kern w:val="2"/>
          <w:sz w:val="30"/>
          <w:szCs w:val="30"/>
          <w:highlight w:val="none"/>
          <w:lang w:val="en-US" w:bidi="ar-SA"/>
        </w:rPr>
        <w:t>（四）申报材料</w:t>
      </w:r>
      <w:r>
        <w:rPr>
          <w:rFonts w:hint="eastAsia" w:ascii="Times New Roman" w:hAnsi="Times New Roman" w:cs="Times New Roman"/>
          <w:b/>
          <w:bCs/>
          <w:kern w:val="2"/>
          <w:sz w:val="30"/>
          <w:szCs w:val="30"/>
          <w:highlight w:val="none"/>
          <w:lang w:val="en-US" w:bidi="ar-SA"/>
        </w:rPr>
        <w:t>的</w:t>
      </w:r>
      <w:r>
        <w:rPr>
          <w:rFonts w:ascii="Times New Roman" w:hAnsi="Times New Roman" w:cs="Times New Roman"/>
          <w:b/>
          <w:bCs/>
          <w:kern w:val="2"/>
          <w:sz w:val="30"/>
          <w:szCs w:val="30"/>
          <w:highlight w:val="none"/>
          <w:lang w:val="en-US" w:bidi="ar-SA"/>
        </w:rPr>
        <w:t>提交</w:t>
      </w:r>
    </w:p>
    <w:p>
      <w:pPr>
        <w:autoSpaceDE/>
        <w:autoSpaceDN/>
        <w:spacing w:line="560" w:lineRule="exact"/>
        <w:ind w:firstLine="600"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kern w:val="2"/>
          <w:sz w:val="30"/>
          <w:szCs w:val="30"/>
          <w:highlight w:val="none"/>
          <w:lang w:val="en-US" w:bidi="ar-SA"/>
        </w:rPr>
        <w:t>1.</w:t>
      </w:r>
      <w:r>
        <w:rPr>
          <w:rFonts w:ascii="Times New Roman" w:hAnsi="Times New Roman" w:cs="Times New Roman"/>
          <w:spacing w:val="-1"/>
          <w:sz w:val="30"/>
          <w:highlight w:val="none"/>
          <w:lang w:val="en-US" w:bidi="ar-SA"/>
        </w:rPr>
        <w:t>申报企业应在规定时间内通过省平台药品交易系统提交申报材料。</w:t>
      </w:r>
    </w:p>
    <w:p>
      <w:pPr>
        <w:autoSpaceDE/>
        <w:autoSpaceDN/>
        <w:spacing w:line="560" w:lineRule="exact"/>
        <w:ind w:firstLine="600" w:firstLineChars="200"/>
        <w:jc w:val="both"/>
        <w:rPr>
          <w:rFonts w:ascii="Times New Roman" w:hAnsi="Times New Roman" w:cs="Times New Roman"/>
          <w:spacing w:val="-1"/>
          <w:sz w:val="30"/>
          <w:highlight w:val="none"/>
          <w:lang w:val="en-US" w:bidi="ar-SA"/>
        </w:rPr>
      </w:pPr>
      <w:r>
        <w:rPr>
          <w:rFonts w:ascii="Times New Roman" w:hAnsi="Times New Roman" w:eastAsia="仿宋_GB2312" w:cs="Times New Roman"/>
          <w:kern w:val="2"/>
          <w:sz w:val="30"/>
          <w:szCs w:val="30"/>
          <w:highlight w:val="none"/>
          <w:lang w:val="en-US" w:bidi="ar-SA"/>
        </w:rPr>
        <w:t>2.</w:t>
      </w:r>
      <w:r>
        <w:rPr>
          <w:rFonts w:ascii="Times New Roman" w:hAnsi="Times New Roman" w:cs="Times New Roman"/>
          <w:spacing w:val="-1"/>
          <w:sz w:val="30"/>
          <w:highlight w:val="none"/>
          <w:lang w:val="en-US" w:bidi="ar-SA"/>
        </w:rPr>
        <w:t>省药交中心拒绝接收在截止时间后提交的任何申报及申报材料。</w:t>
      </w:r>
    </w:p>
    <w:p>
      <w:pPr>
        <w:pStyle w:val="20"/>
        <w:tabs>
          <w:tab w:val="left" w:pos="1237"/>
        </w:tabs>
        <w:spacing w:line="600" w:lineRule="exact"/>
        <w:ind w:left="0" w:right="408" w:firstLineChars="200"/>
        <w:jc w:val="both"/>
        <w:rPr>
          <w:rFonts w:ascii="Times New Roman" w:hAnsi="Times New Roman" w:eastAsia="仿宋_GB2312" w:cs="Times New Roman"/>
          <w:kern w:val="2"/>
          <w:sz w:val="30"/>
          <w:szCs w:val="30"/>
          <w:highlight w:val="none"/>
          <w:lang w:val="en-US" w:bidi="ar-SA"/>
        </w:rPr>
      </w:pPr>
      <w:r>
        <w:rPr>
          <w:rFonts w:ascii="Times New Roman" w:hAnsi="Times New Roman" w:eastAsia="仿宋_GB2312" w:cs="Times New Roman"/>
          <w:kern w:val="2"/>
          <w:sz w:val="30"/>
          <w:szCs w:val="30"/>
          <w:highlight w:val="none"/>
          <w:lang w:val="en-US" w:bidi="ar-SA"/>
        </w:rPr>
        <w:t>3.</w:t>
      </w:r>
      <w:r>
        <w:rPr>
          <w:rFonts w:ascii="Times New Roman" w:hAnsi="Times New Roman" w:cs="Times New Roman"/>
          <w:spacing w:val="-1"/>
          <w:sz w:val="30"/>
          <w:highlight w:val="none"/>
          <w:lang w:val="en-US" w:bidi="ar-SA"/>
        </w:rPr>
        <w:t>申报截止时间后，申报企业不得对其申报材料做任何修改。</w:t>
      </w:r>
    </w:p>
    <w:p>
      <w:pPr>
        <w:autoSpaceDE/>
        <w:autoSpaceDN/>
        <w:spacing w:line="560" w:lineRule="exact"/>
        <w:ind w:firstLine="602" w:firstLineChars="200"/>
        <w:jc w:val="both"/>
        <w:rPr>
          <w:rFonts w:ascii="Times New Roman" w:hAnsi="Times New Roman" w:cs="Times New Roman"/>
          <w:b/>
          <w:bCs/>
          <w:kern w:val="2"/>
          <w:sz w:val="30"/>
          <w:szCs w:val="30"/>
          <w:highlight w:val="none"/>
          <w:lang w:val="en-US" w:bidi="ar-SA"/>
        </w:rPr>
      </w:pPr>
      <w:r>
        <w:rPr>
          <w:rFonts w:ascii="Times New Roman" w:hAnsi="Times New Roman" w:cs="Times New Roman"/>
          <w:b/>
          <w:bCs/>
          <w:kern w:val="2"/>
          <w:sz w:val="30"/>
          <w:szCs w:val="30"/>
          <w:highlight w:val="none"/>
          <w:lang w:val="en-US" w:bidi="ar-SA"/>
        </w:rPr>
        <w:t>（五）申报材料的式样和签署</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1.申报材料须打印或用不褪色书写工具书写，并由申报企业加盖公章后扫描为PDF文件，并按要求在系统提交。</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2.申报企业除对笔误等作勘误外，不得行间插字、涂改或增删， 如有修改错漏处，必须由企业法定代表人或企业被授权人签字或盖章。</w:t>
      </w:r>
    </w:p>
    <w:p>
      <w:pPr>
        <w:autoSpaceDE/>
        <w:autoSpaceDN/>
        <w:spacing w:line="560" w:lineRule="exact"/>
        <w:ind w:firstLine="600" w:firstLineChars="200"/>
        <w:jc w:val="both"/>
        <w:rPr>
          <w:rFonts w:eastAsia="黑体"/>
          <w:highlight w:val="none"/>
          <w:lang w:val="en-US"/>
        </w:rPr>
      </w:pPr>
      <w:r>
        <w:rPr>
          <w:rFonts w:hint="eastAsia" w:ascii="黑体" w:hAnsi="黑体" w:eastAsia="黑体" w:cs="黑体"/>
          <w:kern w:val="2"/>
          <w:sz w:val="30"/>
          <w:szCs w:val="30"/>
          <w:highlight w:val="none"/>
          <w:lang w:val="en-US" w:bidi="ar-SA"/>
        </w:rPr>
        <w:t>三、企业梯级报价</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（一）</w:t>
      </w:r>
      <w:r>
        <w:rPr>
          <w:rFonts w:hint="eastAsia" w:ascii="Times New Roman" w:hAnsi="Times New Roman" w:cs="Times New Roman"/>
          <w:kern w:val="2"/>
          <w:sz w:val="30"/>
          <w:szCs w:val="30"/>
          <w:highlight w:val="none"/>
          <w:lang w:val="en-US" w:eastAsia="zh-CN" w:bidi="ar-SA"/>
        </w:rPr>
        <w:t>企业报价是指以日均治疗费用（计算公式：申报品规日均治疗费用=申报品规最小计量单位价格×申报品规日均治疗量）作为申报价，</w:t>
      </w:r>
      <w:r>
        <w:rPr>
          <w:rFonts w:ascii="Times New Roman" w:hAnsi="Times New Roman" w:cs="Times New Roman"/>
          <w:kern w:val="2"/>
          <w:sz w:val="30"/>
          <w:szCs w:val="30"/>
          <w:highlight w:val="none"/>
          <w:lang w:val="en-US" w:bidi="ar-SA"/>
        </w:rPr>
        <w:t>货币单位为人民币（元）</w:t>
      </w:r>
      <w:r>
        <w:rPr>
          <w:rFonts w:hint="eastAsia" w:ascii="Times New Roman" w:hAnsi="Times New Roman" w:cs="Times New Roman"/>
          <w:kern w:val="2"/>
          <w:sz w:val="30"/>
          <w:szCs w:val="30"/>
          <w:highlight w:val="none"/>
          <w:lang w:val="en-US" w:eastAsia="zh-CN" w:bidi="ar-SA"/>
        </w:rPr>
        <w:t>，报价</w:t>
      </w:r>
      <w:r>
        <w:rPr>
          <w:rFonts w:ascii="Times New Roman" w:hAnsi="Times New Roman" w:cs="Times New Roman"/>
          <w:kern w:val="2"/>
          <w:sz w:val="30"/>
          <w:szCs w:val="30"/>
          <w:highlight w:val="none"/>
          <w:lang w:val="en-US" w:bidi="ar-SA"/>
        </w:rPr>
        <w:t>单位</w:t>
      </w:r>
      <w:r>
        <w:rPr>
          <w:rFonts w:hint="eastAsia" w:ascii="Times New Roman" w:hAnsi="Times New Roman" w:cs="Times New Roman"/>
          <w:kern w:val="2"/>
          <w:sz w:val="30"/>
          <w:szCs w:val="30"/>
          <w:highlight w:val="none"/>
          <w:lang w:val="en-US" w:eastAsia="zh-CN" w:bidi="ar-SA"/>
        </w:rPr>
        <w:t>为元/天（</w:t>
      </w:r>
      <w:r>
        <w:rPr>
          <w:rFonts w:ascii="Times New Roman" w:hAnsi="Times New Roman" w:cs="Times New Roman"/>
          <w:kern w:val="2"/>
          <w:sz w:val="30"/>
          <w:szCs w:val="30"/>
          <w:highlight w:val="none"/>
          <w:lang w:val="en-US" w:bidi="ar-SA"/>
        </w:rPr>
        <w:t>四舍五入保留小数点后</w:t>
      </w:r>
      <w:r>
        <w:rPr>
          <w:rFonts w:hint="eastAsia" w:ascii="Times New Roman" w:hAnsi="Times New Roman" w:cs="Times New Roman"/>
          <w:kern w:val="2"/>
          <w:sz w:val="30"/>
          <w:szCs w:val="30"/>
          <w:highlight w:val="none"/>
          <w:lang w:val="en-US" w:bidi="ar-SA"/>
        </w:rPr>
        <w:t>4</w:t>
      </w:r>
      <w:r>
        <w:rPr>
          <w:rFonts w:ascii="Times New Roman" w:hAnsi="Times New Roman" w:cs="Times New Roman"/>
          <w:kern w:val="2"/>
          <w:sz w:val="30"/>
          <w:szCs w:val="30"/>
          <w:highlight w:val="none"/>
          <w:lang w:val="en-US" w:bidi="ar-SA"/>
        </w:rPr>
        <w:t>位</w:t>
      </w:r>
      <w:r>
        <w:rPr>
          <w:rFonts w:hint="eastAsia" w:ascii="Times New Roman" w:hAnsi="Times New Roman" w:cs="Times New Roman"/>
          <w:kern w:val="2"/>
          <w:sz w:val="30"/>
          <w:szCs w:val="30"/>
          <w:highlight w:val="none"/>
          <w:lang w:val="en-US" w:eastAsia="zh-CN" w:bidi="ar-SA"/>
        </w:rPr>
        <w:t>）</w:t>
      </w:r>
      <w:r>
        <w:rPr>
          <w:rFonts w:ascii="Times New Roman" w:hAnsi="Times New Roman" w:cs="Times New Roman"/>
          <w:kern w:val="2"/>
          <w:sz w:val="30"/>
          <w:szCs w:val="30"/>
          <w:highlight w:val="none"/>
          <w:lang w:val="en-US" w:bidi="ar-SA"/>
        </w:rPr>
        <w:t>。</w:t>
      </w:r>
    </w:p>
    <w:p>
      <w:pPr>
        <w:autoSpaceDE/>
        <w:autoSpaceDN/>
        <w:spacing w:line="600" w:lineRule="exact"/>
        <w:ind w:firstLine="600" w:firstLineChars="200"/>
        <w:jc w:val="both"/>
        <w:rPr>
          <w:rFonts w:eastAsia="方正仿宋简体"/>
          <w:highlight w:val="none"/>
          <w:lang w:val="en-US"/>
        </w:rPr>
      </w:pPr>
      <w:r>
        <w:rPr>
          <w:rFonts w:hint="eastAsia" w:ascii="Times New Roman" w:hAnsi="Times New Roman" w:cs="Times New Roman"/>
          <w:kern w:val="2"/>
          <w:sz w:val="30"/>
          <w:szCs w:val="30"/>
          <w:highlight w:val="none"/>
          <w:lang w:val="en-US" w:bidi="ar-SA"/>
        </w:rPr>
        <w:t>（二）</w:t>
      </w:r>
      <w:r>
        <w:rPr>
          <w:rFonts w:hint="eastAsia" w:ascii="Times New Roman" w:hAnsi="Times New Roman" w:cs="Times New Roman"/>
          <w:kern w:val="2"/>
          <w:sz w:val="30"/>
          <w:szCs w:val="30"/>
          <w:highlight w:val="none"/>
          <w:lang w:val="en-US" w:eastAsia="zh-CN" w:bidi="ar-SA"/>
        </w:rPr>
        <w:t>申报品规最小计量单位价格</w:t>
      </w:r>
      <w:r>
        <w:rPr>
          <w:rFonts w:ascii="Times New Roman" w:hAnsi="Times New Roman" w:cs="Times New Roman"/>
          <w:kern w:val="2"/>
          <w:sz w:val="30"/>
          <w:szCs w:val="30"/>
          <w:highlight w:val="none"/>
          <w:lang w:val="en-US" w:bidi="ar-SA"/>
        </w:rPr>
        <w:t>为申报企业的实际供应价，应包括税费、配送费等在内的所有费用。</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（三）符合本次药品集采品种范围但未参与报价的</w:t>
      </w:r>
      <w:r>
        <w:rPr>
          <w:rFonts w:hint="eastAsia" w:ascii="Times New Roman" w:hAnsi="Times New Roman" w:cs="Times New Roman"/>
          <w:kern w:val="2"/>
          <w:sz w:val="30"/>
          <w:szCs w:val="30"/>
          <w:highlight w:val="none"/>
          <w:lang w:val="en-US" w:eastAsia="zh-CN" w:bidi="ar-SA"/>
        </w:rPr>
        <w:t>产品</w:t>
      </w:r>
      <w:r>
        <w:rPr>
          <w:rFonts w:hint="eastAsia" w:ascii="Times New Roman" w:hAnsi="Times New Roman" w:cs="Times New Roman"/>
          <w:kern w:val="2"/>
          <w:sz w:val="30"/>
          <w:szCs w:val="30"/>
          <w:highlight w:val="none"/>
          <w:lang w:val="en-US" w:bidi="ar-SA"/>
        </w:rPr>
        <w:t>，以及</w:t>
      </w:r>
      <w:r>
        <w:rPr>
          <w:rFonts w:hint="eastAsia" w:ascii="Times New Roman" w:hAnsi="Times New Roman" w:cs="Times New Roman"/>
          <w:kern w:val="2"/>
          <w:sz w:val="30"/>
          <w:szCs w:val="30"/>
          <w:highlight w:val="none"/>
          <w:lang w:val="en-US" w:eastAsia="zh-CN" w:bidi="ar-SA"/>
        </w:rPr>
        <w:t>同组未产生中选产品的，按</w:t>
      </w:r>
      <w:r>
        <w:rPr>
          <w:rFonts w:hint="eastAsia" w:ascii="Times New Roman" w:hAnsi="Times New Roman" w:cs="Times New Roman"/>
          <w:kern w:val="2"/>
          <w:sz w:val="30"/>
          <w:szCs w:val="30"/>
          <w:highlight w:val="none"/>
          <w:lang w:val="en-US" w:bidi="ar-SA"/>
        </w:rPr>
        <w:t>自主（备案）采购</w:t>
      </w:r>
      <w:r>
        <w:rPr>
          <w:rFonts w:hint="eastAsia" w:ascii="Times New Roman" w:hAnsi="Times New Roman" w:cs="Times New Roman"/>
          <w:kern w:val="2"/>
          <w:sz w:val="30"/>
          <w:szCs w:val="30"/>
          <w:highlight w:val="none"/>
          <w:lang w:val="en-US" w:eastAsia="zh-CN" w:bidi="ar-SA"/>
        </w:rPr>
        <w:t>要求执行</w:t>
      </w:r>
      <w:r>
        <w:rPr>
          <w:rFonts w:hint="eastAsia" w:ascii="Times New Roman" w:hAnsi="Times New Roman" w:cs="Times New Roman"/>
          <w:kern w:val="2"/>
          <w:sz w:val="30"/>
          <w:szCs w:val="30"/>
          <w:highlight w:val="none"/>
          <w:lang w:val="en-US" w:bidi="ar-SA"/>
        </w:rPr>
        <w:t>。</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（四）采购单的产品按是否存在差比价关系区分报价。</w:t>
      </w:r>
    </w:p>
    <w:p>
      <w:pPr>
        <w:autoSpaceDE/>
        <w:autoSpaceDN/>
        <w:spacing w:line="600" w:lineRule="exact"/>
        <w:ind w:firstLine="600" w:firstLineChars="200"/>
        <w:jc w:val="both"/>
        <w:rPr>
          <w:rFonts w:hint="default" w:ascii="Times New Roman" w:hAnsi="Times New Roman" w:eastAsia="仿宋" w:cs="Times New Roman"/>
          <w:kern w:val="2"/>
          <w:sz w:val="30"/>
          <w:szCs w:val="30"/>
          <w:highlight w:val="none"/>
          <w:lang w:val="en-US" w:eastAsia="zh-CN" w:bidi="ar-SA"/>
        </w:rPr>
      </w:pPr>
      <w:r>
        <w:rPr>
          <w:rFonts w:hint="eastAsia" w:ascii="Times New Roman" w:hAnsi="Times New Roman" w:cs="Times New Roman"/>
          <w:kern w:val="2"/>
          <w:sz w:val="30"/>
          <w:szCs w:val="30"/>
          <w:highlight w:val="none"/>
          <w:lang w:val="en-US" w:bidi="ar-SA"/>
        </w:rPr>
        <w:t>1.若同企业同通用名不同剂型规格存在差比关系的，须选择一个品规作为价格申报品规，其他品规参照</w:t>
      </w:r>
      <w:r>
        <w:rPr>
          <w:rFonts w:hint="eastAsia" w:ascii="Times New Roman" w:hAnsi="Times New Roman" w:cs="Times New Roman"/>
          <w:kern w:val="2"/>
          <w:sz w:val="30"/>
          <w:szCs w:val="30"/>
          <w:highlight w:val="none"/>
          <w:lang w:val="en-US" w:eastAsia="zh-CN" w:bidi="ar-SA"/>
        </w:rPr>
        <w:t>药品差比价规则</w:t>
      </w:r>
      <w:r>
        <w:rPr>
          <w:rFonts w:hint="eastAsia" w:ascii="Times New Roman" w:hAnsi="Times New Roman" w:cs="Times New Roman"/>
          <w:kern w:val="2"/>
          <w:sz w:val="30"/>
          <w:szCs w:val="30"/>
          <w:highlight w:val="none"/>
          <w:lang w:val="en-US" w:bidi="ar-SA"/>
        </w:rPr>
        <w:t>计算。</w:t>
      </w:r>
    </w:p>
    <w:p>
      <w:pPr>
        <w:keepNext w:val="0"/>
        <w:keepLines w:val="0"/>
        <w:pageBreakBefore w:val="0"/>
        <w:widowControl w:val="0"/>
        <w:kinsoku/>
        <w:wordWrap/>
        <w:overflowPunct/>
        <w:topLinePunct w:val="0"/>
        <w:autoSpaceDE/>
        <w:autoSpaceDN/>
        <w:bidi w:val="0"/>
        <w:snapToGrid/>
        <w:spacing w:line="560" w:lineRule="exact"/>
        <w:ind w:firstLine="600" w:firstLineChars="200"/>
        <w:jc w:val="both"/>
        <w:textAlignment w:val="auto"/>
        <w:rPr>
          <w:rFonts w:hint="eastAsia"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2.若同企业同通用名不同剂型不存在差比关系的，</w:t>
      </w:r>
      <w:r>
        <w:rPr>
          <w:rFonts w:hint="eastAsia" w:ascii="Times New Roman" w:hAnsi="Times New Roman" w:cs="Times New Roman"/>
          <w:kern w:val="2"/>
          <w:sz w:val="30"/>
          <w:szCs w:val="30"/>
          <w:highlight w:val="none"/>
          <w:lang w:val="en-US" w:eastAsia="zh-CN" w:bidi="ar-SA"/>
        </w:rPr>
        <w:t>区分不同组别各</w:t>
      </w:r>
      <w:r>
        <w:rPr>
          <w:rFonts w:hint="eastAsia" w:ascii="Times New Roman" w:hAnsi="Times New Roman" w:cs="Times New Roman"/>
          <w:kern w:val="2"/>
          <w:sz w:val="30"/>
          <w:szCs w:val="30"/>
          <w:highlight w:val="none"/>
          <w:lang w:val="en-US" w:bidi="ar-SA"/>
        </w:rPr>
        <w:t>选择一个品规作为价格申报品规。</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（五）申报企业按照量价挂钩原则，合理申报梯级价格。企业的报价高于</w:t>
      </w:r>
      <w:r>
        <w:rPr>
          <w:rFonts w:hint="eastAsia" w:ascii="Times New Roman" w:hAnsi="Times New Roman" w:cs="Times New Roman"/>
          <w:kern w:val="2"/>
          <w:sz w:val="30"/>
          <w:szCs w:val="30"/>
          <w:highlight w:val="none"/>
          <w:lang w:val="en-US" w:eastAsia="zh-CN" w:bidi="ar-SA"/>
        </w:rPr>
        <w:t>公布的最高日均治疗费用</w:t>
      </w:r>
      <w:r>
        <w:rPr>
          <w:rFonts w:hint="eastAsia" w:ascii="Times New Roman" w:hAnsi="Times New Roman" w:cs="Times New Roman"/>
          <w:kern w:val="2"/>
          <w:sz w:val="30"/>
          <w:szCs w:val="30"/>
          <w:highlight w:val="none"/>
          <w:lang w:val="en-US" w:bidi="ar-SA"/>
        </w:rPr>
        <w:t>时视为无效报价；企业的报价小于等于</w:t>
      </w:r>
      <w:r>
        <w:rPr>
          <w:rFonts w:hint="eastAsia" w:ascii="Times New Roman" w:hAnsi="Times New Roman" w:cs="Times New Roman"/>
          <w:kern w:val="2"/>
          <w:sz w:val="30"/>
          <w:szCs w:val="30"/>
          <w:highlight w:val="none"/>
          <w:lang w:val="en-US" w:eastAsia="zh-CN" w:bidi="ar-SA"/>
        </w:rPr>
        <w:t>公布的最高日均治疗费用</w:t>
      </w:r>
      <w:r>
        <w:rPr>
          <w:rFonts w:hint="eastAsia" w:ascii="Times New Roman" w:hAnsi="Times New Roman" w:cs="Times New Roman"/>
          <w:kern w:val="2"/>
          <w:sz w:val="30"/>
          <w:szCs w:val="30"/>
          <w:highlight w:val="none"/>
          <w:lang w:val="en-US" w:bidi="ar-SA"/>
        </w:rPr>
        <w:t>和本企业全国最低价格</w:t>
      </w:r>
      <w:r>
        <w:rPr>
          <w:rFonts w:hint="eastAsia" w:ascii="Times New Roman" w:hAnsi="Times New Roman" w:cs="Times New Roman"/>
          <w:kern w:val="2"/>
          <w:sz w:val="30"/>
          <w:szCs w:val="30"/>
          <w:highlight w:val="none"/>
          <w:lang w:val="en-US" w:eastAsia="zh-CN" w:bidi="ar-SA"/>
        </w:rPr>
        <w:t>计算的日均治疗费用</w:t>
      </w:r>
      <w:r>
        <w:rPr>
          <w:rFonts w:hint="eastAsia" w:ascii="Times New Roman" w:hAnsi="Times New Roman" w:cs="Times New Roman"/>
          <w:kern w:val="2"/>
          <w:sz w:val="30"/>
          <w:szCs w:val="30"/>
          <w:highlight w:val="none"/>
          <w:lang w:val="en-US" w:bidi="ar-SA"/>
        </w:rPr>
        <w:t>两者之间低值时，视为有效报价，同时符合以下条件：</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1.A采购单须同时</w:t>
      </w:r>
      <w:r>
        <w:rPr>
          <w:rFonts w:hint="eastAsia" w:ascii="Times New Roman" w:hAnsi="Times New Roman" w:cs="Times New Roman"/>
          <w:kern w:val="2"/>
          <w:sz w:val="30"/>
          <w:szCs w:val="30"/>
          <w:highlight w:val="none"/>
          <w:lang w:val="en-US" w:eastAsia="zh-CN" w:bidi="ar-SA"/>
        </w:rPr>
        <w:t>按照报名时确认的参与</w:t>
      </w:r>
      <w:r>
        <w:rPr>
          <w:rFonts w:hint="eastAsia" w:ascii="Times New Roman" w:hAnsi="Times New Roman" w:cs="Times New Roman"/>
          <w:kern w:val="2"/>
          <w:sz w:val="30"/>
          <w:szCs w:val="30"/>
          <w:highlight w:val="none"/>
          <w:lang w:val="en-US" w:bidi="ar-SA"/>
        </w:rPr>
        <w:t>第一、第二</w:t>
      </w:r>
      <w:r>
        <w:rPr>
          <w:rFonts w:hint="eastAsia" w:ascii="Times New Roman" w:hAnsi="Times New Roman" w:cs="Times New Roman"/>
          <w:kern w:val="2"/>
          <w:sz w:val="30"/>
          <w:szCs w:val="30"/>
          <w:highlight w:val="none"/>
          <w:lang w:val="en-US" w:eastAsia="zh-CN" w:bidi="ar-SA"/>
        </w:rPr>
        <w:t>梯级</w:t>
      </w:r>
      <w:r>
        <w:rPr>
          <w:rFonts w:hint="eastAsia" w:ascii="Times New Roman" w:hAnsi="Times New Roman" w:cs="Times New Roman"/>
          <w:kern w:val="2"/>
          <w:sz w:val="30"/>
          <w:szCs w:val="30"/>
          <w:highlight w:val="none"/>
          <w:lang w:val="en-US" w:bidi="ar-SA"/>
        </w:rPr>
        <w:t>竞价的剂型</w:t>
      </w:r>
      <w:r>
        <w:rPr>
          <w:rFonts w:hint="eastAsia" w:ascii="Times New Roman" w:hAnsi="Times New Roman" w:cs="Times New Roman"/>
          <w:kern w:val="2"/>
          <w:sz w:val="30"/>
          <w:szCs w:val="30"/>
          <w:highlight w:val="none"/>
          <w:lang w:val="en-US" w:eastAsia="zh-CN" w:bidi="ar-SA"/>
        </w:rPr>
        <w:t>范围（参与</w:t>
      </w:r>
      <w:r>
        <w:rPr>
          <w:rFonts w:hint="eastAsia" w:ascii="Times New Roman" w:hAnsi="Times New Roman" w:cs="Times New Roman"/>
          <w:kern w:val="2"/>
          <w:sz w:val="30"/>
          <w:szCs w:val="30"/>
          <w:highlight w:val="none"/>
          <w:lang w:val="en-US" w:bidi="ar-SA"/>
        </w:rPr>
        <w:t>第二</w:t>
      </w:r>
      <w:r>
        <w:rPr>
          <w:rFonts w:hint="eastAsia" w:ascii="Times New Roman" w:hAnsi="Times New Roman" w:cs="Times New Roman"/>
          <w:kern w:val="2"/>
          <w:sz w:val="30"/>
          <w:szCs w:val="30"/>
          <w:highlight w:val="none"/>
          <w:lang w:val="en-US" w:eastAsia="zh-CN" w:bidi="ar-SA"/>
        </w:rPr>
        <w:t>梯级</w:t>
      </w:r>
      <w:r>
        <w:rPr>
          <w:rFonts w:hint="eastAsia" w:ascii="Times New Roman" w:hAnsi="Times New Roman" w:cs="Times New Roman"/>
          <w:kern w:val="2"/>
          <w:sz w:val="30"/>
          <w:szCs w:val="30"/>
          <w:highlight w:val="none"/>
          <w:lang w:val="en-US" w:bidi="ar-SA"/>
        </w:rPr>
        <w:t>的须在第一</w:t>
      </w:r>
      <w:r>
        <w:rPr>
          <w:rFonts w:hint="eastAsia" w:ascii="Times New Roman" w:hAnsi="Times New Roman" w:cs="Times New Roman"/>
          <w:kern w:val="2"/>
          <w:sz w:val="30"/>
          <w:szCs w:val="30"/>
          <w:highlight w:val="none"/>
          <w:lang w:val="en-US" w:eastAsia="zh-CN" w:bidi="ar-SA"/>
        </w:rPr>
        <w:t>梯级</w:t>
      </w:r>
      <w:r>
        <w:rPr>
          <w:rFonts w:hint="eastAsia" w:ascii="Times New Roman" w:hAnsi="Times New Roman" w:cs="Times New Roman"/>
          <w:kern w:val="2"/>
          <w:sz w:val="30"/>
          <w:szCs w:val="30"/>
          <w:highlight w:val="none"/>
          <w:lang w:val="en-US" w:bidi="ar-SA"/>
        </w:rPr>
        <w:t>的范围内</w:t>
      </w:r>
      <w:r>
        <w:rPr>
          <w:rFonts w:hint="eastAsia" w:ascii="Times New Roman" w:hAnsi="Times New Roman" w:cs="Times New Roman"/>
          <w:kern w:val="2"/>
          <w:sz w:val="30"/>
          <w:szCs w:val="30"/>
          <w:highlight w:val="none"/>
          <w:lang w:val="en-US" w:eastAsia="zh-CN" w:bidi="ar-SA"/>
        </w:rPr>
        <w:t>）分别</w:t>
      </w:r>
      <w:r>
        <w:rPr>
          <w:rFonts w:hint="eastAsia" w:ascii="Times New Roman" w:hAnsi="Times New Roman" w:cs="Times New Roman"/>
          <w:kern w:val="2"/>
          <w:sz w:val="30"/>
          <w:szCs w:val="30"/>
          <w:highlight w:val="none"/>
          <w:lang w:val="en-US" w:bidi="ar-SA"/>
        </w:rPr>
        <w:t>报价（第</w:t>
      </w:r>
      <w:r>
        <w:rPr>
          <w:rFonts w:hint="eastAsia" w:ascii="Times New Roman" w:hAnsi="Times New Roman" w:cs="Times New Roman"/>
          <w:kern w:val="2"/>
          <w:sz w:val="30"/>
          <w:szCs w:val="30"/>
          <w:highlight w:val="none"/>
          <w:lang w:val="en-US" w:eastAsia="zh-CN" w:bidi="ar-SA"/>
        </w:rPr>
        <w:t>一</w:t>
      </w:r>
      <w:r>
        <w:rPr>
          <w:rFonts w:hint="eastAsia" w:ascii="Times New Roman" w:hAnsi="Times New Roman" w:cs="Times New Roman"/>
          <w:kern w:val="2"/>
          <w:sz w:val="30"/>
          <w:szCs w:val="30"/>
          <w:highlight w:val="none"/>
          <w:lang w:val="en-US" w:bidi="ar-SA"/>
        </w:rPr>
        <w:t>梯级报价为P1，第</w:t>
      </w:r>
      <w:r>
        <w:rPr>
          <w:rFonts w:hint="eastAsia" w:ascii="Times New Roman" w:hAnsi="Times New Roman" w:cs="Times New Roman"/>
          <w:kern w:val="2"/>
          <w:sz w:val="30"/>
          <w:szCs w:val="30"/>
          <w:highlight w:val="none"/>
          <w:lang w:val="en-US" w:eastAsia="zh-CN" w:bidi="ar-SA"/>
        </w:rPr>
        <w:t>二</w:t>
      </w:r>
      <w:r>
        <w:rPr>
          <w:rFonts w:hint="eastAsia" w:ascii="Times New Roman" w:hAnsi="Times New Roman" w:cs="Times New Roman"/>
          <w:kern w:val="2"/>
          <w:sz w:val="30"/>
          <w:szCs w:val="30"/>
          <w:highlight w:val="none"/>
          <w:lang w:val="en-US" w:bidi="ar-SA"/>
        </w:rPr>
        <w:t>梯级报价为P2，下同）；申报品规</w:t>
      </w:r>
      <w:r>
        <w:rPr>
          <w:rFonts w:hint="eastAsia" w:ascii="Times New Roman" w:hAnsi="Times New Roman" w:cs="Times New Roman"/>
          <w:kern w:val="2"/>
          <w:sz w:val="30"/>
          <w:szCs w:val="30"/>
          <w:highlight w:val="none"/>
          <w:lang w:val="en-US" w:eastAsia="zh-CN" w:bidi="ar-SA"/>
        </w:rPr>
        <w:t>对应的剂型须参与两个梯级报价，</w:t>
      </w:r>
      <w:r>
        <w:rPr>
          <w:rFonts w:hint="eastAsia" w:ascii="Times New Roman" w:hAnsi="Times New Roman" w:cs="Times New Roman"/>
          <w:kern w:val="2"/>
          <w:sz w:val="30"/>
          <w:szCs w:val="30"/>
          <w:highlight w:val="none"/>
          <w:lang w:val="en-US" w:bidi="ar-SA"/>
        </w:rPr>
        <w:t>仅报1个梯级价格的视为无效报价，以P1、P2的有效报价进行竞价。</w:t>
      </w:r>
    </w:p>
    <w:p>
      <w:pPr>
        <w:autoSpaceDE/>
        <w:autoSpaceDN/>
        <w:spacing w:line="600" w:lineRule="exact"/>
        <w:ind w:firstLine="600" w:firstLineChars="200"/>
        <w:jc w:val="both"/>
        <w:rPr>
          <w:highlight w:val="none"/>
          <w:lang w:val="en-US"/>
        </w:rPr>
      </w:pPr>
      <w:r>
        <w:rPr>
          <w:rFonts w:hint="eastAsia" w:ascii="Times New Roman" w:hAnsi="Times New Roman" w:cs="Times New Roman"/>
          <w:kern w:val="2"/>
          <w:sz w:val="30"/>
          <w:szCs w:val="30"/>
          <w:highlight w:val="none"/>
          <w:lang w:val="en-US" w:bidi="ar-SA"/>
        </w:rPr>
        <w:t>（1）A采购单中的企业，P2大于等于P1的，本企业2个梯级报价均视为无效报价。P2比P1的降幅以1个百分比计（百分比须保留到个位，例如：1%或2%或3%，......）</w:t>
      </w:r>
      <w:r>
        <w:rPr>
          <w:rFonts w:hint="eastAsia" w:ascii="Times New Roman" w:hAnsi="Times New Roman" w:cs="Times New Roman"/>
          <w:kern w:val="2"/>
          <w:sz w:val="30"/>
          <w:szCs w:val="30"/>
          <w:highlight w:val="none"/>
          <w:lang w:val="en-US" w:eastAsia="zh-CN" w:bidi="ar-SA"/>
        </w:rPr>
        <w:t>，按企业报的降幅系统自动计算出P2价格</w:t>
      </w:r>
      <w:r>
        <w:rPr>
          <w:rFonts w:hint="eastAsia" w:ascii="Times New Roman" w:hAnsi="Times New Roman" w:cs="Times New Roman"/>
          <w:kern w:val="2"/>
          <w:sz w:val="30"/>
          <w:szCs w:val="30"/>
          <w:highlight w:val="none"/>
          <w:lang w:val="en-US" w:bidi="ar-SA"/>
        </w:rPr>
        <w:t>。</w:t>
      </w:r>
    </w:p>
    <w:p>
      <w:pPr>
        <w:autoSpaceDE/>
        <w:autoSpaceDN/>
        <w:spacing w:line="600" w:lineRule="exact"/>
        <w:ind w:firstLine="600" w:firstLineChars="200"/>
        <w:jc w:val="both"/>
        <w:rPr>
          <w:rFonts w:hint="eastAsia"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（2）监控独家产品</w:t>
      </w:r>
      <w:r>
        <w:rPr>
          <w:rFonts w:hint="eastAsia" w:ascii="Times New Roman" w:hAnsi="Times New Roman" w:cs="Times New Roman"/>
          <w:kern w:val="2"/>
          <w:sz w:val="30"/>
          <w:szCs w:val="30"/>
          <w:highlight w:val="none"/>
          <w:lang w:val="en-US" w:eastAsia="zh-CN" w:bidi="ar-SA"/>
        </w:rPr>
        <w:t>，</w:t>
      </w:r>
      <w:r>
        <w:rPr>
          <w:rFonts w:hint="eastAsia" w:ascii="Times New Roman" w:hAnsi="Times New Roman" w:cs="Times New Roman"/>
          <w:kern w:val="2"/>
          <w:sz w:val="30"/>
          <w:szCs w:val="30"/>
          <w:highlight w:val="none"/>
          <w:lang w:val="en-US" w:bidi="ar-SA"/>
        </w:rPr>
        <w:t>P1是联盟地区本品种采购期首年预采购量 50%对应的梯级价格， P2是超过50%对应的梯级价格。</w:t>
      </w:r>
    </w:p>
    <w:p>
      <w:pPr>
        <w:autoSpaceDE/>
        <w:autoSpaceDN/>
        <w:spacing w:line="600" w:lineRule="exact"/>
        <w:ind w:firstLine="600" w:firstLineChars="200"/>
        <w:jc w:val="both"/>
        <w:rPr>
          <w:rFonts w:hint="eastAsia"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（3）非监控独家产品</w:t>
      </w:r>
      <w:r>
        <w:rPr>
          <w:rFonts w:hint="eastAsia" w:ascii="Times New Roman" w:hAnsi="Times New Roman" w:cs="Times New Roman"/>
          <w:kern w:val="2"/>
          <w:sz w:val="30"/>
          <w:szCs w:val="30"/>
          <w:highlight w:val="none"/>
          <w:lang w:val="en-US" w:eastAsia="zh-CN" w:bidi="ar-SA"/>
        </w:rPr>
        <w:t>和</w:t>
      </w:r>
      <w:r>
        <w:rPr>
          <w:rFonts w:hint="eastAsia" w:ascii="Times New Roman" w:hAnsi="Times New Roman" w:cs="Times New Roman"/>
          <w:kern w:val="2"/>
          <w:sz w:val="30"/>
          <w:szCs w:val="30"/>
          <w:highlight w:val="none"/>
          <w:lang w:val="en-US" w:bidi="ar-SA"/>
        </w:rPr>
        <w:t>非独家产品</w:t>
      </w:r>
      <w:r>
        <w:rPr>
          <w:rFonts w:hint="eastAsia" w:ascii="Times New Roman" w:hAnsi="Times New Roman" w:cs="Times New Roman"/>
          <w:kern w:val="2"/>
          <w:sz w:val="30"/>
          <w:szCs w:val="30"/>
          <w:highlight w:val="none"/>
          <w:lang w:val="en-US" w:eastAsia="zh-CN" w:bidi="ar-SA"/>
        </w:rPr>
        <w:t>，</w:t>
      </w:r>
      <w:r>
        <w:rPr>
          <w:rFonts w:hint="eastAsia" w:ascii="Times New Roman" w:hAnsi="Times New Roman" w:cs="Times New Roman"/>
          <w:kern w:val="2"/>
          <w:sz w:val="30"/>
          <w:szCs w:val="30"/>
          <w:highlight w:val="none"/>
          <w:lang w:val="en-US" w:bidi="ar-SA"/>
        </w:rPr>
        <w:t>P1是联盟地区本品种采购期首年预采购量 70%对应的梯级价格， P2是超过70%对应的梯级价格。</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eastAsia="zh-CN" w:bidi="ar-SA"/>
        </w:rPr>
        <w:t>2.</w:t>
      </w:r>
      <w:r>
        <w:rPr>
          <w:rFonts w:hint="eastAsia" w:ascii="Times New Roman" w:hAnsi="Times New Roman" w:cs="Times New Roman"/>
          <w:kern w:val="2"/>
          <w:sz w:val="30"/>
          <w:szCs w:val="30"/>
          <w:highlight w:val="none"/>
          <w:lang w:val="en-US" w:bidi="ar-SA"/>
        </w:rPr>
        <w:t>B采购单仅报一个价格</w:t>
      </w:r>
      <w:r>
        <w:rPr>
          <w:rFonts w:hint="eastAsia" w:ascii="Times New Roman" w:hAnsi="Times New Roman" w:cs="Times New Roman"/>
          <w:kern w:val="2"/>
          <w:sz w:val="30"/>
          <w:szCs w:val="30"/>
          <w:highlight w:val="none"/>
          <w:lang w:val="en-US" w:eastAsia="zh-CN" w:bidi="ar-SA"/>
        </w:rPr>
        <w:t>；</w:t>
      </w:r>
      <w:r>
        <w:rPr>
          <w:rFonts w:hint="eastAsia" w:ascii="Times New Roman" w:hAnsi="Times New Roman" w:cs="Times New Roman"/>
          <w:kern w:val="2"/>
          <w:sz w:val="30"/>
          <w:szCs w:val="30"/>
          <w:highlight w:val="none"/>
          <w:lang w:val="en-US" w:bidi="ar-SA"/>
        </w:rPr>
        <w:t>若报多个价格的，视为无效报价。</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（六）“</w:t>
      </w:r>
      <w:r>
        <w:rPr>
          <w:rFonts w:hint="eastAsia" w:ascii="Times New Roman" w:hAnsi="Times New Roman" w:cs="Times New Roman"/>
          <w:kern w:val="2"/>
          <w:sz w:val="30"/>
          <w:szCs w:val="30"/>
          <w:highlight w:val="none"/>
          <w:lang w:val="en-US" w:eastAsia="zh-CN" w:bidi="ar-SA"/>
        </w:rPr>
        <w:t>单位可比价</w:t>
      </w:r>
      <w:r>
        <w:rPr>
          <w:rFonts w:hint="eastAsia" w:ascii="Times New Roman" w:hAnsi="Times New Roman" w:cs="Times New Roman"/>
          <w:kern w:val="2"/>
          <w:sz w:val="30"/>
          <w:szCs w:val="30"/>
          <w:highlight w:val="none"/>
          <w:lang w:val="en-US" w:bidi="ar-SA"/>
        </w:rPr>
        <w:t>”：</w:t>
      </w:r>
      <w:r>
        <w:rPr>
          <w:rFonts w:hint="eastAsia" w:ascii="Times New Roman" w:hAnsi="Times New Roman" w:cs="Times New Roman"/>
          <w:kern w:val="2"/>
          <w:sz w:val="30"/>
          <w:szCs w:val="30"/>
          <w:highlight w:val="none"/>
          <w:lang w:val="en-US" w:eastAsia="zh-CN" w:bidi="ar-SA"/>
        </w:rPr>
        <w:t>按</w:t>
      </w:r>
      <w:r>
        <w:rPr>
          <w:rFonts w:hint="eastAsia" w:ascii="Times New Roman" w:hAnsi="Times New Roman" w:cs="Times New Roman"/>
          <w:kern w:val="2"/>
          <w:sz w:val="30"/>
          <w:szCs w:val="30"/>
          <w:highlight w:val="none"/>
          <w:lang w:val="en-US" w:bidi="ar-SA"/>
        </w:rPr>
        <w:t>企业报价折算为“统一代表品”</w:t>
      </w:r>
      <w:r>
        <w:rPr>
          <w:rFonts w:hint="eastAsia" w:ascii="Times New Roman" w:hAnsi="Times New Roman" w:cs="Times New Roman"/>
          <w:kern w:val="2"/>
          <w:sz w:val="30"/>
          <w:szCs w:val="30"/>
          <w:highlight w:val="none"/>
          <w:lang w:val="en-US" w:eastAsia="zh-CN" w:bidi="ar-SA"/>
        </w:rPr>
        <w:t>（见附表1）的</w:t>
      </w:r>
      <w:r>
        <w:rPr>
          <w:rFonts w:hint="eastAsia" w:ascii="Times New Roman" w:hAnsi="Times New Roman" w:cs="Times New Roman"/>
          <w:kern w:val="2"/>
          <w:sz w:val="30"/>
          <w:szCs w:val="30"/>
          <w:highlight w:val="none"/>
          <w:lang w:val="en-US" w:bidi="ar-SA"/>
        </w:rPr>
        <w:t>日</w:t>
      </w:r>
      <w:r>
        <w:rPr>
          <w:rFonts w:hint="eastAsia" w:ascii="Times New Roman" w:hAnsi="Times New Roman" w:cs="Times New Roman"/>
          <w:kern w:val="2"/>
          <w:sz w:val="30"/>
          <w:szCs w:val="30"/>
          <w:highlight w:val="none"/>
          <w:lang w:val="en-US" w:eastAsia="zh-CN" w:bidi="ar-SA"/>
        </w:rPr>
        <w:t>均</w:t>
      </w:r>
      <w:r>
        <w:rPr>
          <w:rFonts w:hint="eastAsia" w:ascii="Times New Roman" w:hAnsi="Times New Roman" w:cs="Times New Roman"/>
          <w:kern w:val="2"/>
          <w:sz w:val="30"/>
          <w:szCs w:val="30"/>
          <w:highlight w:val="none"/>
          <w:lang w:val="en-US" w:bidi="ar-SA"/>
        </w:rPr>
        <w:t>治疗费用</w:t>
      </w:r>
      <w:r>
        <w:rPr>
          <w:rFonts w:hint="eastAsia" w:ascii="Times New Roman" w:hAnsi="Times New Roman" w:cs="Times New Roman"/>
          <w:kern w:val="2"/>
          <w:sz w:val="30"/>
          <w:szCs w:val="30"/>
          <w:highlight w:val="none"/>
          <w:lang w:val="en-US" w:eastAsia="zh-CN" w:bidi="ar-SA"/>
        </w:rPr>
        <w:t>作为“单位可比价”并参与竞价</w:t>
      </w:r>
      <w:r>
        <w:rPr>
          <w:rFonts w:hint="eastAsia" w:ascii="Times New Roman" w:hAnsi="Times New Roman" w:cs="Times New Roman"/>
          <w:kern w:val="2"/>
          <w:sz w:val="30"/>
          <w:szCs w:val="30"/>
          <w:highlight w:val="none"/>
          <w:lang w:val="en-US" w:bidi="ar-SA"/>
        </w:rPr>
        <w:t>。</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（七）规定时间内未报价或报错价的，报价结束后不得补报或修改，由此引起的一切后果由投标人自行负责。</w:t>
      </w:r>
    </w:p>
    <w:p>
      <w:pPr>
        <w:autoSpaceDE/>
        <w:autoSpaceDN/>
        <w:spacing w:line="600" w:lineRule="exact"/>
        <w:ind w:firstLine="600" w:firstLineChars="200"/>
        <w:jc w:val="both"/>
        <w:rPr>
          <w:highlight w:val="none"/>
          <w:lang w:val="en-US"/>
        </w:rPr>
      </w:pPr>
      <w:r>
        <w:rPr>
          <w:rFonts w:hint="eastAsia" w:ascii="Times New Roman" w:hAnsi="Times New Roman" w:cs="Times New Roman"/>
          <w:kern w:val="2"/>
          <w:sz w:val="30"/>
          <w:szCs w:val="30"/>
          <w:highlight w:val="none"/>
          <w:lang w:val="en-US" w:bidi="ar-SA"/>
        </w:rPr>
        <w:t>（八）本次</w:t>
      </w:r>
      <w:r>
        <w:rPr>
          <w:rFonts w:hint="eastAsia" w:ascii="Times New Roman" w:hAnsi="Times New Roman" w:cs="Times New Roman"/>
          <w:kern w:val="2"/>
          <w:sz w:val="30"/>
          <w:szCs w:val="30"/>
          <w:highlight w:val="none"/>
          <w:lang w:val="en-US" w:eastAsia="zh-CN" w:bidi="ar-SA"/>
        </w:rPr>
        <w:t>药品</w:t>
      </w:r>
      <w:r>
        <w:rPr>
          <w:rFonts w:hint="eastAsia" w:ascii="Times New Roman" w:hAnsi="Times New Roman" w:cs="Times New Roman"/>
          <w:kern w:val="2"/>
          <w:sz w:val="30"/>
          <w:szCs w:val="30"/>
          <w:highlight w:val="none"/>
          <w:lang w:val="en-US" w:bidi="ar-SA"/>
        </w:rPr>
        <w:t>集团带量采购所涉药品差比价关系参照现有规则。</w:t>
      </w:r>
    </w:p>
    <w:p>
      <w:pPr>
        <w:autoSpaceDE/>
        <w:autoSpaceDN/>
        <w:spacing w:line="560" w:lineRule="exact"/>
        <w:ind w:firstLine="600" w:firstLineChars="200"/>
        <w:jc w:val="both"/>
        <w:rPr>
          <w:rFonts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四、报价信息解密</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报价信息解密时邀请公证机构和有关部门参加，对报价信息解密的全过程进行监督。</w:t>
      </w:r>
    </w:p>
    <w:p>
      <w:pPr>
        <w:numPr>
          <w:ilvl w:val="0"/>
          <w:numId w:val="2"/>
        </w:numPr>
        <w:autoSpaceDE/>
        <w:autoSpaceDN/>
        <w:spacing w:line="560" w:lineRule="exact"/>
        <w:ind w:firstLine="600" w:firstLineChars="200"/>
        <w:jc w:val="both"/>
        <w:rPr>
          <w:rFonts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拟中选产品确定</w:t>
      </w:r>
    </w:p>
    <w:p>
      <w:pPr>
        <w:autoSpaceDE/>
        <w:autoSpaceDN/>
        <w:spacing w:line="560" w:lineRule="exact"/>
        <w:ind w:firstLine="602"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b/>
          <w:bCs/>
          <w:kern w:val="2"/>
          <w:sz w:val="30"/>
          <w:szCs w:val="30"/>
          <w:highlight w:val="none"/>
          <w:lang w:val="en-US" w:bidi="ar-SA"/>
        </w:rPr>
        <w:t>（一）</w:t>
      </w:r>
      <w:r>
        <w:rPr>
          <w:rFonts w:hint="eastAsia" w:ascii="Times New Roman" w:hAnsi="Times New Roman" w:cs="Times New Roman"/>
          <w:b/>
          <w:bCs/>
          <w:kern w:val="2"/>
          <w:sz w:val="30"/>
          <w:szCs w:val="30"/>
          <w:highlight w:val="none"/>
          <w:lang w:val="en-US" w:bidi="ar-SA"/>
        </w:rPr>
        <w:t>A采购单第一</w:t>
      </w:r>
      <w:r>
        <w:rPr>
          <w:rFonts w:hint="eastAsia" w:ascii="Times New Roman" w:hAnsi="Times New Roman" w:cs="Times New Roman"/>
          <w:b/>
          <w:bCs/>
          <w:kern w:val="2"/>
          <w:sz w:val="30"/>
          <w:szCs w:val="30"/>
          <w:highlight w:val="none"/>
          <w:lang w:val="en-US" w:eastAsia="zh-CN" w:bidi="ar-SA"/>
        </w:rPr>
        <w:t>梯级</w:t>
      </w:r>
      <w:r>
        <w:rPr>
          <w:rFonts w:hint="eastAsia" w:ascii="Times New Roman" w:hAnsi="Times New Roman" w:cs="Times New Roman"/>
          <w:b/>
          <w:bCs/>
          <w:kern w:val="2"/>
          <w:sz w:val="30"/>
          <w:szCs w:val="30"/>
          <w:highlight w:val="none"/>
          <w:lang w:val="en-US" w:bidi="ar-SA"/>
        </w:rPr>
        <w:t>竞价</w:t>
      </w:r>
      <w:r>
        <w:rPr>
          <w:rFonts w:ascii="Times New Roman" w:hAnsi="Times New Roman" w:cs="Times New Roman"/>
          <w:b/>
          <w:bCs/>
          <w:kern w:val="2"/>
          <w:sz w:val="30"/>
          <w:szCs w:val="30"/>
          <w:highlight w:val="none"/>
          <w:lang w:val="en-US" w:bidi="ar-SA"/>
        </w:rPr>
        <w:t>拟中选企业确定规则</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P1≤</w:t>
      </w:r>
      <w:r>
        <w:rPr>
          <w:rFonts w:hint="eastAsia" w:ascii="Times New Roman" w:hAnsi="Times New Roman" w:cs="Times New Roman"/>
          <w:kern w:val="2"/>
          <w:sz w:val="30"/>
          <w:szCs w:val="30"/>
          <w:highlight w:val="none"/>
          <w:lang w:val="en-US" w:eastAsia="zh-CN" w:bidi="ar-SA"/>
        </w:rPr>
        <w:t>公布的最高日均治疗费用</w:t>
      </w:r>
      <w:r>
        <w:rPr>
          <w:rFonts w:hint="eastAsia" w:ascii="Times New Roman" w:hAnsi="Times New Roman" w:cs="Times New Roman"/>
          <w:kern w:val="2"/>
          <w:sz w:val="30"/>
          <w:szCs w:val="30"/>
          <w:highlight w:val="none"/>
          <w:lang w:val="en-US" w:bidi="ar-SA"/>
        </w:rPr>
        <w:t>和本企业全国最低价格</w:t>
      </w:r>
      <w:r>
        <w:rPr>
          <w:rFonts w:hint="eastAsia" w:ascii="Times New Roman" w:hAnsi="Times New Roman" w:cs="Times New Roman"/>
          <w:kern w:val="2"/>
          <w:sz w:val="30"/>
          <w:szCs w:val="30"/>
          <w:highlight w:val="none"/>
          <w:lang w:val="en-US" w:eastAsia="zh-CN" w:bidi="ar-SA"/>
        </w:rPr>
        <w:t>计算的日均治疗费用</w:t>
      </w:r>
      <w:r>
        <w:rPr>
          <w:rFonts w:hint="eastAsia" w:ascii="Times New Roman" w:hAnsi="Times New Roman" w:cs="Times New Roman"/>
          <w:kern w:val="2"/>
          <w:sz w:val="30"/>
          <w:szCs w:val="30"/>
          <w:highlight w:val="none"/>
          <w:lang w:val="en-US" w:bidi="ar-SA"/>
        </w:rPr>
        <w:t>两者之间低值，获得A采购单第一</w:t>
      </w:r>
      <w:r>
        <w:rPr>
          <w:rFonts w:hint="eastAsia" w:ascii="Times New Roman" w:hAnsi="Times New Roman" w:cs="Times New Roman"/>
          <w:kern w:val="2"/>
          <w:sz w:val="30"/>
          <w:szCs w:val="30"/>
          <w:highlight w:val="none"/>
          <w:lang w:val="en-US" w:eastAsia="zh-CN" w:bidi="ar-SA"/>
        </w:rPr>
        <w:t>梯级</w:t>
      </w:r>
      <w:r>
        <w:rPr>
          <w:rFonts w:hint="eastAsia" w:ascii="Times New Roman" w:hAnsi="Times New Roman" w:cs="Times New Roman"/>
          <w:kern w:val="2"/>
          <w:sz w:val="30"/>
          <w:szCs w:val="30"/>
          <w:highlight w:val="none"/>
          <w:lang w:val="en-US" w:bidi="ar-SA"/>
        </w:rPr>
        <w:t>拟中选</w:t>
      </w:r>
      <w:r>
        <w:rPr>
          <w:rFonts w:hint="eastAsia" w:ascii="Times New Roman" w:hAnsi="Times New Roman" w:cs="Times New Roman"/>
          <w:kern w:val="2"/>
          <w:sz w:val="30"/>
          <w:szCs w:val="30"/>
          <w:highlight w:val="none"/>
          <w:lang w:val="en-US" w:eastAsia="zh-CN" w:bidi="ar-SA"/>
        </w:rPr>
        <w:t>资格</w:t>
      </w:r>
      <w:r>
        <w:rPr>
          <w:rFonts w:hint="eastAsia" w:ascii="Times New Roman" w:hAnsi="Times New Roman" w:cs="Times New Roman"/>
          <w:kern w:val="2"/>
          <w:sz w:val="30"/>
          <w:szCs w:val="30"/>
          <w:highlight w:val="none"/>
          <w:lang w:val="en-US" w:bidi="ar-SA"/>
        </w:rPr>
        <w:t>。</w:t>
      </w:r>
    </w:p>
    <w:p>
      <w:pPr>
        <w:autoSpaceDE/>
        <w:autoSpaceDN/>
        <w:spacing w:line="600" w:lineRule="exact"/>
        <w:ind w:firstLine="602"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b/>
          <w:bCs/>
          <w:kern w:val="2"/>
          <w:sz w:val="30"/>
          <w:szCs w:val="30"/>
          <w:highlight w:val="none"/>
          <w:lang w:val="en-US" w:bidi="ar-SA"/>
        </w:rPr>
        <w:t>（</w:t>
      </w:r>
      <w:r>
        <w:rPr>
          <w:rFonts w:hint="eastAsia" w:ascii="Times New Roman" w:hAnsi="Times New Roman" w:cs="Times New Roman"/>
          <w:b/>
          <w:bCs/>
          <w:kern w:val="2"/>
          <w:sz w:val="30"/>
          <w:szCs w:val="30"/>
          <w:highlight w:val="none"/>
          <w:lang w:val="en-US" w:bidi="ar-SA"/>
        </w:rPr>
        <w:t>二</w:t>
      </w:r>
      <w:r>
        <w:rPr>
          <w:rFonts w:ascii="Times New Roman" w:hAnsi="Times New Roman" w:cs="Times New Roman"/>
          <w:b/>
          <w:bCs/>
          <w:kern w:val="2"/>
          <w:sz w:val="30"/>
          <w:szCs w:val="30"/>
          <w:highlight w:val="none"/>
          <w:lang w:val="en-US" w:bidi="ar-SA"/>
        </w:rPr>
        <w:t>）</w:t>
      </w:r>
      <w:r>
        <w:rPr>
          <w:rFonts w:hint="eastAsia" w:ascii="Times New Roman" w:hAnsi="Times New Roman" w:cs="Times New Roman"/>
          <w:b/>
          <w:bCs/>
          <w:kern w:val="2"/>
          <w:sz w:val="30"/>
          <w:szCs w:val="30"/>
          <w:highlight w:val="none"/>
          <w:lang w:val="en-US" w:bidi="ar-SA"/>
        </w:rPr>
        <w:t>非独家产品A采购单第二</w:t>
      </w:r>
      <w:r>
        <w:rPr>
          <w:rFonts w:hint="eastAsia" w:ascii="Times New Roman" w:hAnsi="Times New Roman" w:cs="Times New Roman"/>
          <w:b/>
          <w:bCs/>
          <w:kern w:val="2"/>
          <w:sz w:val="30"/>
          <w:szCs w:val="30"/>
          <w:highlight w:val="none"/>
          <w:lang w:val="en-US" w:eastAsia="zh-CN" w:bidi="ar-SA"/>
        </w:rPr>
        <w:t>梯级</w:t>
      </w:r>
      <w:r>
        <w:rPr>
          <w:rFonts w:hint="eastAsia" w:ascii="Times New Roman" w:hAnsi="Times New Roman" w:cs="Times New Roman"/>
          <w:b/>
          <w:bCs/>
          <w:kern w:val="2"/>
          <w:sz w:val="30"/>
          <w:szCs w:val="30"/>
          <w:highlight w:val="none"/>
          <w:lang w:val="en-US" w:bidi="ar-SA"/>
        </w:rPr>
        <w:t>竞价拟中选企业确定规则</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P2≤</w:t>
      </w:r>
      <w:r>
        <w:rPr>
          <w:rFonts w:hint="eastAsia" w:ascii="Times New Roman" w:hAnsi="Times New Roman" w:cs="Times New Roman"/>
          <w:kern w:val="2"/>
          <w:sz w:val="30"/>
          <w:szCs w:val="30"/>
          <w:highlight w:val="none"/>
          <w:lang w:val="en-US" w:eastAsia="zh-CN" w:bidi="ar-SA"/>
        </w:rPr>
        <w:t>公布的最高日均治疗费用</w:t>
      </w:r>
      <w:r>
        <w:rPr>
          <w:rFonts w:hint="eastAsia" w:ascii="Times New Roman" w:hAnsi="Times New Roman" w:cs="Times New Roman"/>
          <w:kern w:val="2"/>
          <w:sz w:val="30"/>
          <w:szCs w:val="30"/>
          <w:highlight w:val="none"/>
          <w:lang w:val="en-US" w:bidi="ar-SA"/>
        </w:rPr>
        <w:t>和本企业全国最低价格</w:t>
      </w:r>
      <w:r>
        <w:rPr>
          <w:rFonts w:hint="eastAsia" w:ascii="Times New Roman" w:hAnsi="Times New Roman" w:cs="Times New Roman"/>
          <w:kern w:val="2"/>
          <w:sz w:val="30"/>
          <w:szCs w:val="30"/>
          <w:highlight w:val="none"/>
          <w:lang w:val="en-US" w:eastAsia="zh-CN" w:bidi="ar-SA"/>
        </w:rPr>
        <w:t>计算的日均治疗费用</w:t>
      </w:r>
      <w:r>
        <w:rPr>
          <w:rFonts w:hint="eastAsia" w:ascii="Times New Roman" w:hAnsi="Times New Roman" w:cs="Times New Roman"/>
          <w:kern w:val="2"/>
          <w:sz w:val="30"/>
          <w:szCs w:val="30"/>
          <w:highlight w:val="none"/>
          <w:lang w:val="en-US" w:bidi="ar-SA"/>
        </w:rPr>
        <w:t>两者之间低值，按“</w:t>
      </w:r>
      <w:r>
        <w:rPr>
          <w:rFonts w:hint="eastAsia" w:ascii="Times New Roman" w:hAnsi="Times New Roman" w:cs="Times New Roman"/>
          <w:kern w:val="2"/>
          <w:sz w:val="30"/>
          <w:szCs w:val="30"/>
          <w:highlight w:val="none"/>
          <w:lang w:val="en-US" w:eastAsia="zh-CN" w:bidi="ar-SA"/>
        </w:rPr>
        <w:t>单位可比价</w:t>
      </w:r>
      <w:r>
        <w:rPr>
          <w:rFonts w:hint="eastAsia" w:ascii="Times New Roman" w:hAnsi="Times New Roman" w:cs="Times New Roman"/>
          <w:kern w:val="2"/>
          <w:sz w:val="30"/>
          <w:szCs w:val="30"/>
          <w:highlight w:val="none"/>
          <w:lang w:val="en-US" w:bidi="ar-SA"/>
        </w:rPr>
        <w:t>”从低到高依次顺位排序，排名在前50%（四舍五入保留个位）的企业获得拟中选资格。</w:t>
      </w:r>
    </w:p>
    <w:p>
      <w:pPr>
        <w:autoSpaceDE/>
        <w:autoSpaceDN/>
        <w:spacing w:line="600" w:lineRule="exact"/>
        <w:ind w:firstLine="602"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b/>
          <w:bCs/>
          <w:kern w:val="2"/>
          <w:sz w:val="30"/>
          <w:szCs w:val="30"/>
          <w:highlight w:val="none"/>
          <w:lang w:val="en-US" w:bidi="ar-SA"/>
        </w:rPr>
        <w:t>（三）独家产品A采购单第二</w:t>
      </w:r>
      <w:r>
        <w:rPr>
          <w:rFonts w:hint="eastAsia" w:ascii="Times New Roman" w:hAnsi="Times New Roman" w:cs="Times New Roman"/>
          <w:b/>
          <w:bCs/>
          <w:kern w:val="2"/>
          <w:sz w:val="30"/>
          <w:szCs w:val="30"/>
          <w:highlight w:val="none"/>
          <w:lang w:val="en-US" w:eastAsia="zh-CN" w:bidi="ar-SA"/>
        </w:rPr>
        <w:t>梯级</w:t>
      </w:r>
      <w:r>
        <w:rPr>
          <w:rFonts w:hint="eastAsia" w:ascii="Times New Roman" w:hAnsi="Times New Roman" w:cs="Times New Roman"/>
          <w:b/>
          <w:bCs/>
          <w:kern w:val="2"/>
          <w:sz w:val="30"/>
          <w:szCs w:val="30"/>
          <w:highlight w:val="none"/>
          <w:lang w:val="en-US" w:bidi="ar-SA"/>
        </w:rPr>
        <w:t>竞价拟中选企业确定规则</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符合以下条件之一的，获得A采购单独家产品第二</w:t>
      </w:r>
      <w:r>
        <w:rPr>
          <w:rFonts w:hint="eastAsia" w:ascii="Times New Roman" w:hAnsi="Times New Roman" w:cs="Times New Roman"/>
          <w:kern w:val="2"/>
          <w:sz w:val="30"/>
          <w:szCs w:val="30"/>
          <w:highlight w:val="none"/>
          <w:lang w:val="en-US" w:eastAsia="zh-CN" w:bidi="ar-SA"/>
        </w:rPr>
        <w:t>梯级</w:t>
      </w:r>
      <w:r>
        <w:rPr>
          <w:rFonts w:hint="eastAsia" w:ascii="Times New Roman" w:hAnsi="Times New Roman" w:cs="Times New Roman"/>
          <w:kern w:val="2"/>
          <w:sz w:val="30"/>
          <w:szCs w:val="30"/>
          <w:highlight w:val="none"/>
          <w:lang w:val="en-US" w:bidi="ar-SA"/>
        </w:rPr>
        <w:t>竞价的拟中选资格：</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eastAsia="zh-CN" w:bidi="ar-SA"/>
        </w:rPr>
        <w:t>1.</w:t>
      </w:r>
      <w:r>
        <w:rPr>
          <w:rFonts w:hint="eastAsia" w:ascii="Times New Roman" w:hAnsi="Times New Roman" w:cs="Times New Roman"/>
          <w:kern w:val="2"/>
          <w:sz w:val="30"/>
          <w:szCs w:val="30"/>
          <w:highlight w:val="none"/>
          <w:lang w:val="en-US" w:bidi="ar-SA"/>
        </w:rPr>
        <w:t>监控独家产品按P2与P1的降幅由高到低依次顺位排序，排名在前50%（四舍五入保留个位）的企业获得拟中选资格</w:t>
      </w:r>
      <w:r>
        <w:rPr>
          <w:rFonts w:hint="eastAsia" w:ascii="Times New Roman" w:hAnsi="Times New Roman" w:cs="Times New Roman"/>
          <w:kern w:val="2"/>
          <w:sz w:val="30"/>
          <w:szCs w:val="30"/>
          <w:highlight w:val="none"/>
          <w:lang w:val="en-US" w:eastAsia="zh-CN" w:bidi="ar-SA"/>
        </w:rPr>
        <w:t>，当</w:t>
      </w:r>
      <w:r>
        <w:rPr>
          <w:rFonts w:hint="eastAsia" w:ascii="Times New Roman" w:hAnsi="Times New Roman" w:eastAsia="仿宋" w:cs="Times New Roman"/>
          <w:color w:val="auto"/>
          <w:kern w:val="2"/>
          <w:sz w:val="30"/>
          <w:szCs w:val="30"/>
          <w:highlight w:val="none"/>
          <w:lang w:val="en-US" w:eastAsia="zh-CN" w:bidi="ar-SA"/>
        </w:rPr>
        <w:t>末位</w:t>
      </w:r>
      <w:r>
        <w:rPr>
          <w:rFonts w:hint="eastAsia" w:ascii="Times New Roman" w:hAnsi="Times New Roman" w:eastAsia="仿宋" w:cs="Times New Roman"/>
          <w:color w:val="auto"/>
          <w:kern w:val="2"/>
          <w:sz w:val="30"/>
          <w:szCs w:val="30"/>
          <w:highlight w:val="none"/>
          <w:lang w:val="en-US" w:bidi="ar-SA"/>
        </w:rPr>
        <w:t>降幅</w:t>
      </w:r>
      <w:r>
        <w:rPr>
          <w:rFonts w:hint="eastAsia" w:ascii="Times New Roman" w:hAnsi="Times New Roman" w:eastAsia="仿宋" w:cs="Times New Roman"/>
          <w:color w:val="auto"/>
          <w:kern w:val="2"/>
          <w:sz w:val="30"/>
          <w:szCs w:val="30"/>
          <w:highlight w:val="none"/>
          <w:lang w:val="en-US" w:eastAsia="zh-CN" w:bidi="ar-SA"/>
        </w:rPr>
        <w:t>相同且存在多家企业的，均被淘汰。</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eastAsia="zh-CN" w:bidi="ar-SA"/>
        </w:rPr>
        <w:t>2.</w:t>
      </w:r>
      <w:r>
        <w:rPr>
          <w:rFonts w:hint="eastAsia" w:ascii="Times New Roman" w:hAnsi="Times New Roman" w:cs="Times New Roman"/>
          <w:kern w:val="2"/>
          <w:sz w:val="30"/>
          <w:szCs w:val="30"/>
          <w:highlight w:val="none"/>
          <w:lang w:val="en-US" w:bidi="ar-SA"/>
        </w:rPr>
        <w:t>非监控独家产品按P2与P1的降幅由高到低依次顺位排序，排名在前70%（四舍五入保留个位）的企业获得拟中选资格</w:t>
      </w:r>
      <w:r>
        <w:rPr>
          <w:rFonts w:hint="eastAsia" w:ascii="Times New Roman" w:hAnsi="Times New Roman" w:cs="Times New Roman"/>
          <w:kern w:val="2"/>
          <w:sz w:val="30"/>
          <w:szCs w:val="30"/>
          <w:highlight w:val="none"/>
          <w:lang w:val="en-US" w:eastAsia="zh-CN" w:bidi="ar-SA"/>
        </w:rPr>
        <w:t>，当</w:t>
      </w:r>
      <w:r>
        <w:rPr>
          <w:rFonts w:hint="eastAsia" w:ascii="Times New Roman" w:hAnsi="Times New Roman" w:eastAsia="仿宋" w:cs="Times New Roman"/>
          <w:color w:val="auto"/>
          <w:kern w:val="2"/>
          <w:sz w:val="30"/>
          <w:szCs w:val="30"/>
          <w:highlight w:val="none"/>
          <w:lang w:val="en-US" w:eastAsia="zh-CN" w:bidi="ar-SA"/>
        </w:rPr>
        <w:t>末位</w:t>
      </w:r>
      <w:r>
        <w:rPr>
          <w:rFonts w:hint="eastAsia" w:ascii="Times New Roman" w:hAnsi="Times New Roman" w:eastAsia="仿宋" w:cs="Times New Roman"/>
          <w:color w:val="auto"/>
          <w:kern w:val="2"/>
          <w:sz w:val="30"/>
          <w:szCs w:val="30"/>
          <w:highlight w:val="none"/>
          <w:lang w:val="en-US" w:bidi="ar-SA"/>
        </w:rPr>
        <w:t>降幅</w:t>
      </w:r>
      <w:r>
        <w:rPr>
          <w:rFonts w:hint="eastAsia" w:ascii="Times New Roman" w:hAnsi="Times New Roman" w:eastAsia="仿宋" w:cs="Times New Roman"/>
          <w:color w:val="auto"/>
          <w:kern w:val="2"/>
          <w:sz w:val="30"/>
          <w:szCs w:val="30"/>
          <w:highlight w:val="none"/>
          <w:lang w:val="en-US" w:eastAsia="zh-CN" w:bidi="ar-SA"/>
        </w:rPr>
        <w:t>相同且存在多家企业的，均被淘汰。</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eastAsia="zh-CN" w:bidi="ar-SA"/>
        </w:rPr>
        <w:t>3.</w:t>
      </w:r>
      <w:r>
        <w:rPr>
          <w:rFonts w:hint="eastAsia" w:ascii="Times New Roman" w:hAnsi="Times New Roman" w:cs="Times New Roman"/>
          <w:kern w:val="2"/>
          <w:sz w:val="30"/>
          <w:szCs w:val="30"/>
          <w:highlight w:val="none"/>
          <w:lang w:val="en-US" w:bidi="ar-SA"/>
        </w:rPr>
        <w:t>当</w:t>
      </w:r>
      <w:r>
        <w:rPr>
          <w:rFonts w:hint="eastAsia" w:ascii="Times New Roman" w:hAnsi="Times New Roman" w:cs="Times New Roman"/>
          <w:kern w:val="2"/>
          <w:sz w:val="30"/>
          <w:szCs w:val="30"/>
          <w:highlight w:val="none"/>
          <w:lang w:val="en-US" w:eastAsia="zh-CN" w:bidi="ar-SA"/>
        </w:rPr>
        <w:t>本企业</w:t>
      </w:r>
      <w:r>
        <w:rPr>
          <w:rFonts w:hint="eastAsia" w:ascii="Times New Roman" w:hAnsi="Times New Roman" w:cs="Times New Roman"/>
          <w:kern w:val="2"/>
          <w:sz w:val="30"/>
          <w:szCs w:val="30"/>
          <w:highlight w:val="none"/>
          <w:lang w:val="en-US" w:bidi="ar-SA"/>
        </w:rPr>
        <w:t>产品降幅</w:t>
      </w:r>
      <w:r>
        <w:rPr>
          <w:rFonts w:hint="eastAsia" w:ascii="Times New Roman" w:hAnsi="Times New Roman" w:cs="Times New Roman"/>
          <w:kern w:val="2"/>
          <w:sz w:val="30"/>
          <w:szCs w:val="30"/>
          <w:highlight w:val="none"/>
          <w:lang w:val="en-US" w:eastAsia="zh-CN" w:bidi="ar-SA"/>
        </w:rPr>
        <w:t>大于或等于</w:t>
      </w:r>
      <w:r>
        <w:rPr>
          <w:rFonts w:hint="eastAsia" w:ascii="Times New Roman" w:hAnsi="Times New Roman" w:cs="Times New Roman"/>
          <w:kern w:val="2"/>
          <w:sz w:val="30"/>
          <w:szCs w:val="30"/>
          <w:highlight w:val="none"/>
          <w:lang w:val="en-US" w:bidi="ar-SA"/>
        </w:rPr>
        <w:t>同组所有产品P2与P1的平均降幅时，获得拟中选资格。</w:t>
      </w:r>
    </w:p>
    <w:p>
      <w:pPr>
        <w:autoSpaceDE/>
        <w:autoSpaceDN/>
        <w:spacing w:line="600" w:lineRule="exact"/>
        <w:ind w:firstLine="600" w:firstLineChars="200"/>
        <w:jc w:val="both"/>
        <w:rPr>
          <w:rFonts w:hint="eastAsia"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eastAsia="zh-CN" w:bidi="ar-SA"/>
        </w:rPr>
        <w:t>4.</w:t>
      </w:r>
      <w:r>
        <w:rPr>
          <w:rFonts w:hint="eastAsia" w:ascii="Times New Roman" w:hAnsi="Times New Roman" w:cs="Times New Roman"/>
          <w:kern w:val="2"/>
          <w:sz w:val="30"/>
          <w:szCs w:val="30"/>
          <w:highlight w:val="none"/>
          <w:lang w:val="en-US" w:bidi="ar-SA"/>
        </w:rPr>
        <w:t>P2≤5元。</w:t>
      </w:r>
    </w:p>
    <w:p>
      <w:pPr>
        <w:autoSpaceDE/>
        <w:autoSpaceDN/>
        <w:spacing w:line="600" w:lineRule="exact"/>
        <w:ind w:firstLine="602" w:firstLineChars="200"/>
        <w:jc w:val="both"/>
        <w:rPr>
          <w:rFonts w:ascii="Times New Roman" w:hAnsi="Times New Roman" w:cs="Times New Roman"/>
          <w:b/>
          <w:bCs/>
          <w:kern w:val="2"/>
          <w:sz w:val="30"/>
          <w:szCs w:val="30"/>
          <w:highlight w:val="none"/>
          <w:lang w:val="en-US" w:bidi="ar-SA"/>
        </w:rPr>
      </w:pPr>
      <w:r>
        <w:rPr>
          <w:rFonts w:hint="eastAsia" w:ascii="Times New Roman" w:hAnsi="Times New Roman" w:cs="Times New Roman"/>
          <w:b/>
          <w:bCs/>
          <w:kern w:val="2"/>
          <w:sz w:val="30"/>
          <w:szCs w:val="30"/>
          <w:highlight w:val="none"/>
          <w:lang w:val="en-US" w:bidi="ar-SA"/>
        </w:rPr>
        <w:t>（</w:t>
      </w:r>
      <w:r>
        <w:rPr>
          <w:rFonts w:hint="eastAsia" w:ascii="Times New Roman" w:hAnsi="Times New Roman" w:cs="Times New Roman"/>
          <w:b/>
          <w:bCs/>
          <w:kern w:val="2"/>
          <w:sz w:val="30"/>
          <w:szCs w:val="30"/>
          <w:highlight w:val="none"/>
          <w:lang w:val="en-US" w:eastAsia="zh-CN" w:bidi="ar-SA"/>
        </w:rPr>
        <w:t>四</w:t>
      </w:r>
      <w:r>
        <w:rPr>
          <w:rFonts w:hint="eastAsia" w:ascii="Times New Roman" w:hAnsi="Times New Roman" w:cs="Times New Roman"/>
          <w:b/>
          <w:bCs/>
          <w:kern w:val="2"/>
          <w:sz w:val="30"/>
          <w:szCs w:val="30"/>
          <w:highlight w:val="none"/>
          <w:lang w:val="en-US" w:bidi="ar-SA"/>
        </w:rPr>
        <w:t>）B采购单拟中选企业确定规则</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企业报价≤</w:t>
      </w:r>
      <w:r>
        <w:rPr>
          <w:rFonts w:hint="eastAsia" w:ascii="Times New Roman" w:hAnsi="Times New Roman" w:cs="Times New Roman"/>
          <w:kern w:val="2"/>
          <w:sz w:val="30"/>
          <w:szCs w:val="30"/>
          <w:highlight w:val="none"/>
          <w:lang w:val="en-US" w:eastAsia="zh-CN" w:bidi="ar-SA"/>
        </w:rPr>
        <w:t>公布的最高日均治疗费用</w:t>
      </w:r>
      <w:r>
        <w:rPr>
          <w:rFonts w:hint="eastAsia" w:ascii="Times New Roman" w:hAnsi="Times New Roman" w:cs="Times New Roman"/>
          <w:kern w:val="2"/>
          <w:sz w:val="30"/>
          <w:szCs w:val="30"/>
          <w:highlight w:val="none"/>
          <w:lang w:val="en-US" w:bidi="ar-SA"/>
        </w:rPr>
        <w:t>和本企业全国最低价格</w:t>
      </w:r>
      <w:r>
        <w:rPr>
          <w:rFonts w:hint="eastAsia" w:ascii="Times New Roman" w:hAnsi="Times New Roman" w:cs="Times New Roman"/>
          <w:kern w:val="2"/>
          <w:sz w:val="30"/>
          <w:szCs w:val="30"/>
          <w:highlight w:val="none"/>
          <w:lang w:val="en-US" w:eastAsia="zh-CN" w:bidi="ar-SA"/>
        </w:rPr>
        <w:t>计算的日均治疗费用</w:t>
      </w:r>
      <w:r>
        <w:rPr>
          <w:rFonts w:hint="eastAsia" w:ascii="Times New Roman" w:hAnsi="Times New Roman" w:cs="Times New Roman"/>
          <w:kern w:val="2"/>
          <w:sz w:val="30"/>
          <w:szCs w:val="30"/>
          <w:highlight w:val="none"/>
          <w:lang w:val="en-US" w:bidi="ar-SA"/>
        </w:rPr>
        <w:t>两者之间低值，按“</w:t>
      </w:r>
      <w:r>
        <w:rPr>
          <w:rFonts w:hint="eastAsia" w:ascii="Times New Roman" w:hAnsi="Times New Roman" w:cs="Times New Roman"/>
          <w:kern w:val="2"/>
          <w:sz w:val="30"/>
          <w:szCs w:val="30"/>
          <w:highlight w:val="none"/>
          <w:lang w:val="en-US" w:eastAsia="zh-CN" w:bidi="ar-SA"/>
        </w:rPr>
        <w:t>单位可比价</w:t>
      </w:r>
      <w:r>
        <w:rPr>
          <w:rFonts w:hint="eastAsia" w:ascii="Times New Roman" w:hAnsi="Times New Roman" w:cs="Times New Roman"/>
          <w:kern w:val="2"/>
          <w:sz w:val="30"/>
          <w:szCs w:val="30"/>
          <w:highlight w:val="none"/>
          <w:lang w:val="en-US" w:bidi="ar-SA"/>
        </w:rPr>
        <w:t>”由低到高依次顺位排序，排名在前50%（四舍五入保留个位）的企业获得拟中选资格。</w:t>
      </w:r>
    </w:p>
    <w:p>
      <w:pPr>
        <w:autoSpaceDE/>
        <w:autoSpaceDN/>
        <w:spacing w:line="600" w:lineRule="exact"/>
        <w:ind w:firstLine="602" w:firstLineChars="200"/>
        <w:jc w:val="both"/>
        <w:rPr>
          <w:rFonts w:ascii="Times New Roman" w:hAnsi="Times New Roman" w:cs="Times New Roman"/>
          <w:b/>
          <w:bCs/>
          <w:kern w:val="2"/>
          <w:sz w:val="30"/>
          <w:szCs w:val="30"/>
          <w:highlight w:val="none"/>
          <w:lang w:val="en-US" w:bidi="ar-SA"/>
        </w:rPr>
      </w:pPr>
      <w:r>
        <w:rPr>
          <w:rFonts w:ascii="Times New Roman" w:hAnsi="Times New Roman" w:cs="Times New Roman"/>
          <w:b/>
          <w:bCs/>
          <w:kern w:val="2"/>
          <w:sz w:val="30"/>
          <w:szCs w:val="30"/>
          <w:highlight w:val="none"/>
          <w:lang w:val="en-US" w:bidi="ar-SA"/>
        </w:rPr>
        <w:t>（</w:t>
      </w:r>
      <w:r>
        <w:rPr>
          <w:rFonts w:hint="eastAsia" w:ascii="Times New Roman" w:hAnsi="Times New Roman" w:cs="Times New Roman"/>
          <w:b/>
          <w:bCs/>
          <w:kern w:val="2"/>
          <w:sz w:val="30"/>
          <w:szCs w:val="30"/>
          <w:highlight w:val="none"/>
          <w:lang w:val="en-US" w:eastAsia="zh-CN" w:bidi="ar-SA"/>
        </w:rPr>
        <w:t>五</w:t>
      </w:r>
      <w:r>
        <w:rPr>
          <w:rFonts w:ascii="Times New Roman" w:hAnsi="Times New Roman" w:cs="Times New Roman"/>
          <w:b/>
          <w:bCs/>
          <w:kern w:val="2"/>
          <w:sz w:val="30"/>
          <w:szCs w:val="30"/>
          <w:highlight w:val="none"/>
          <w:lang w:val="en-US" w:bidi="ar-SA"/>
        </w:rPr>
        <w:t>）</w:t>
      </w:r>
      <w:r>
        <w:rPr>
          <w:rFonts w:hint="eastAsia" w:ascii="Times New Roman" w:hAnsi="Times New Roman" w:cs="Times New Roman"/>
          <w:b/>
          <w:bCs/>
          <w:kern w:val="2"/>
          <w:sz w:val="30"/>
          <w:szCs w:val="30"/>
          <w:highlight w:val="none"/>
          <w:lang w:val="en-US" w:bidi="ar-SA"/>
        </w:rPr>
        <w:t>A/</w:t>
      </w:r>
      <w:r>
        <w:rPr>
          <w:rFonts w:ascii="Times New Roman" w:hAnsi="Times New Roman" w:cs="Times New Roman"/>
          <w:b/>
          <w:bCs/>
          <w:kern w:val="2"/>
          <w:sz w:val="30"/>
          <w:szCs w:val="30"/>
          <w:highlight w:val="none"/>
          <w:lang w:val="en-US" w:bidi="ar-SA"/>
        </w:rPr>
        <w:t>B采购单申报企业“</w:t>
      </w:r>
      <w:r>
        <w:rPr>
          <w:rFonts w:hint="eastAsia" w:ascii="Times New Roman" w:hAnsi="Times New Roman" w:cs="Times New Roman"/>
          <w:b/>
          <w:bCs/>
          <w:kern w:val="2"/>
          <w:sz w:val="30"/>
          <w:szCs w:val="30"/>
          <w:highlight w:val="none"/>
          <w:lang w:val="en-US" w:eastAsia="zh-CN" w:bidi="ar-SA"/>
        </w:rPr>
        <w:t>单位可比价</w:t>
      </w:r>
      <w:r>
        <w:rPr>
          <w:rFonts w:ascii="Times New Roman" w:hAnsi="Times New Roman" w:cs="Times New Roman"/>
          <w:b/>
          <w:bCs/>
          <w:kern w:val="2"/>
          <w:sz w:val="30"/>
          <w:szCs w:val="30"/>
          <w:highlight w:val="none"/>
          <w:lang w:val="en-US" w:bidi="ar-SA"/>
        </w:rPr>
        <w:t>”相同时，按以下规则依次确定拟中选企业：</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1.</w:t>
      </w:r>
      <w:r>
        <w:rPr>
          <w:rFonts w:hint="eastAsia" w:ascii="Times New Roman" w:hAnsi="Times New Roman" w:cs="Times New Roman"/>
          <w:kern w:val="2"/>
          <w:sz w:val="30"/>
          <w:szCs w:val="30"/>
          <w:highlight w:val="none"/>
          <w:lang w:val="en-US" w:bidi="ar-SA"/>
        </w:rPr>
        <w:t>未被任意一省依据医药价格和招采信用评价制度评定为“中等”、“严重”或“特别严重”失信等级的企业优先；</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2.</w:t>
      </w:r>
      <w:r>
        <w:rPr>
          <w:rFonts w:ascii="Times New Roman" w:hAnsi="Times New Roman" w:cs="Times New Roman"/>
          <w:kern w:val="2"/>
          <w:sz w:val="30"/>
          <w:szCs w:val="30"/>
          <w:highlight w:val="none"/>
          <w:lang w:val="en-US" w:bidi="ar-SA"/>
        </w:rPr>
        <w:t>2021年在联盟地区报量大的企业优先，多个规格的品种，报量合并计算（以联盟地区报送数据为依据）；</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3</w:t>
      </w:r>
      <w:r>
        <w:rPr>
          <w:rFonts w:ascii="Times New Roman" w:hAnsi="Times New Roman" w:cs="Times New Roman"/>
          <w:kern w:val="2"/>
          <w:sz w:val="30"/>
          <w:szCs w:val="30"/>
          <w:highlight w:val="none"/>
          <w:lang w:val="en-US" w:bidi="ar-SA"/>
        </w:rPr>
        <w:t>.2021年联盟地区报量省份数量多的企业优先（以联盟地区报送数据为依据）；</w:t>
      </w:r>
    </w:p>
    <w:p>
      <w:pPr>
        <w:pStyle w:val="2"/>
        <w:spacing w:line="600" w:lineRule="exact"/>
        <w:ind w:firstLine="600" w:firstLineChars="200"/>
        <w:rPr>
          <w:rFonts w:hint="default" w:ascii="Times New Roman" w:hAnsi="Times New Roman" w:eastAsia="仿宋"/>
          <w:color w:val="auto"/>
          <w:sz w:val="30"/>
          <w:szCs w:val="30"/>
          <w:highlight w:val="none"/>
        </w:rPr>
      </w:pPr>
      <w:r>
        <w:rPr>
          <w:rFonts w:ascii="Times New Roman" w:hAnsi="Times New Roman" w:eastAsia="仿宋"/>
          <w:color w:val="auto"/>
          <w:sz w:val="30"/>
          <w:szCs w:val="30"/>
          <w:highlight w:val="none"/>
        </w:rPr>
        <w:t>4</w:t>
      </w:r>
      <w:r>
        <w:rPr>
          <w:rFonts w:hint="default" w:ascii="Times New Roman" w:hAnsi="Times New Roman" w:eastAsia="仿宋"/>
          <w:color w:val="auto"/>
          <w:sz w:val="30"/>
          <w:szCs w:val="30"/>
          <w:highlight w:val="none"/>
        </w:rPr>
        <w:t>.若按以上规则仍无法确定拟中选企业的，</w:t>
      </w:r>
      <w:r>
        <w:rPr>
          <w:rFonts w:ascii="Times New Roman" w:hAnsi="Times New Roman" w:eastAsia="仿宋"/>
          <w:color w:val="auto"/>
          <w:sz w:val="30"/>
          <w:szCs w:val="30"/>
          <w:highlight w:val="none"/>
        </w:rPr>
        <w:t>均获得拟中选资格</w:t>
      </w:r>
      <w:r>
        <w:rPr>
          <w:rFonts w:hint="default" w:ascii="Times New Roman" w:hAnsi="Times New Roman" w:eastAsia="仿宋"/>
          <w:color w:val="auto"/>
          <w:sz w:val="30"/>
          <w:szCs w:val="30"/>
          <w:highlight w:val="none"/>
        </w:rPr>
        <w:t>。</w:t>
      </w:r>
    </w:p>
    <w:p>
      <w:pPr>
        <w:autoSpaceDE/>
        <w:autoSpaceDN/>
        <w:spacing w:line="600" w:lineRule="exact"/>
        <w:ind w:firstLine="602" w:firstLineChars="200"/>
        <w:jc w:val="both"/>
        <w:rPr>
          <w:rFonts w:ascii="Times New Roman" w:hAnsi="Times New Roman" w:cs="Times New Roman"/>
          <w:b/>
          <w:bCs/>
          <w:kern w:val="2"/>
          <w:sz w:val="30"/>
          <w:szCs w:val="30"/>
          <w:highlight w:val="none"/>
          <w:lang w:val="en-US" w:bidi="ar-SA"/>
        </w:rPr>
      </w:pPr>
      <w:r>
        <w:rPr>
          <w:rFonts w:ascii="Times New Roman" w:hAnsi="Times New Roman" w:cs="Times New Roman"/>
          <w:b/>
          <w:bCs/>
          <w:kern w:val="2"/>
          <w:sz w:val="30"/>
          <w:szCs w:val="30"/>
          <w:highlight w:val="none"/>
          <w:lang w:val="en-US" w:bidi="ar-SA"/>
        </w:rPr>
        <w:t>（</w:t>
      </w:r>
      <w:r>
        <w:rPr>
          <w:rFonts w:hint="eastAsia" w:ascii="Times New Roman" w:hAnsi="Times New Roman" w:cs="Times New Roman"/>
          <w:b/>
          <w:bCs/>
          <w:kern w:val="2"/>
          <w:sz w:val="30"/>
          <w:szCs w:val="30"/>
          <w:highlight w:val="none"/>
          <w:lang w:val="en-US" w:eastAsia="zh-CN" w:bidi="ar-SA"/>
        </w:rPr>
        <w:t>六</w:t>
      </w:r>
      <w:r>
        <w:rPr>
          <w:rFonts w:ascii="Times New Roman" w:hAnsi="Times New Roman" w:cs="Times New Roman"/>
          <w:b/>
          <w:bCs/>
          <w:kern w:val="2"/>
          <w:sz w:val="30"/>
          <w:szCs w:val="30"/>
          <w:highlight w:val="none"/>
          <w:lang w:val="en-US" w:bidi="ar-SA"/>
        </w:rPr>
        <w:t>）</w:t>
      </w:r>
      <w:r>
        <w:rPr>
          <w:rFonts w:hint="eastAsia" w:ascii="Times New Roman" w:hAnsi="Times New Roman" w:cs="Times New Roman"/>
          <w:b/>
          <w:bCs/>
          <w:kern w:val="2"/>
          <w:sz w:val="30"/>
          <w:szCs w:val="30"/>
          <w:highlight w:val="none"/>
          <w:lang w:val="en-US" w:bidi="ar-SA"/>
        </w:rPr>
        <w:t>公</w:t>
      </w:r>
      <w:r>
        <w:rPr>
          <w:rFonts w:hint="eastAsia" w:ascii="Times New Roman" w:hAnsi="Times New Roman" w:cs="Times New Roman"/>
          <w:b/>
          <w:bCs/>
          <w:kern w:val="2"/>
          <w:sz w:val="30"/>
          <w:szCs w:val="30"/>
          <w:highlight w:val="none"/>
          <w:lang w:val="en-US" w:eastAsia="zh-CN" w:bidi="ar-SA"/>
        </w:rPr>
        <w:t>示</w:t>
      </w:r>
      <w:r>
        <w:rPr>
          <w:rFonts w:ascii="Times New Roman" w:hAnsi="Times New Roman" w:cs="Times New Roman"/>
          <w:b/>
          <w:bCs/>
          <w:kern w:val="2"/>
          <w:sz w:val="30"/>
          <w:szCs w:val="30"/>
          <w:highlight w:val="none"/>
          <w:lang w:val="en-US" w:bidi="ar-SA"/>
        </w:rPr>
        <w:t>拟中选结果</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本次药品中选价格现场公</w:t>
      </w:r>
      <w:r>
        <w:rPr>
          <w:rFonts w:hint="eastAsia" w:ascii="Times New Roman" w:hAnsi="Times New Roman" w:cs="Times New Roman"/>
          <w:kern w:val="2"/>
          <w:sz w:val="30"/>
          <w:szCs w:val="30"/>
          <w:highlight w:val="none"/>
          <w:lang w:val="en-US" w:eastAsia="zh-CN" w:bidi="ar-SA"/>
        </w:rPr>
        <w:t>开</w:t>
      </w:r>
      <w:r>
        <w:rPr>
          <w:rFonts w:hint="eastAsia" w:ascii="Times New Roman" w:hAnsi="Times New Roman" w:cs="Times New Roman"/>
          <w:kern w:val="2"/>
          <w:sz w:val="30"/>
          <w:szCs w:val="30"/>
          <w:highlight w:val="none"/>
          <w:lang w:val="en-US" w:bidi="ar-SA"/>
        </w:rPr>
        <w:t>；</w:t>
      </w:r>
      <w:r>
        <w:rPr>
          <w:rFonts w:hint="eastAsia" w:ascii="Times New Roman" w:hAnsi="Times New Roman" w:cs="Times New Roman"/>
          <w:kern w:val="2"/>
          <w:sz w:val="30"/>
          <w:szCs w:val="30"/>
          <w:highlight w:val="none"/>
          <w:lang w:val="en-US" w:eastAsia="zh-CN" w:bidi="ar-SA"/>
        </w:rPr>
        <w:t>拟</w:t>
      </w:r>
      <w:r>
        <w:rPr>
          <w:rFonts w:hint="eastAsia" w:ascii="Times New Roman" w:hAnsi="Times New Roman" w:cs="Times New Roman"/>
          <w:kern w:val="2"/>
          <w:sz w:val="30"/>
          <w:szCs w:val="30"/>
          <w:highlight w:val="none"/>
          <w:lang w:val="en-US" w:bidi="ar-SA"/>
        </w:rPr>
        <w:t>中选产品和企业将</w:t>
      </w:r>
      <w:r>
        <w:rPr>
          <w:rFonts w:ascii="Times New Roman" w:hAnsi="Times New Roman" w:cs="Times New Roman"/>
          <w:kern w:val="2"/>
          <w:sz w:val="30"/>
          <w:szCs w:val="30"/>
          <w:highlight w:val="none"/>
          <w:lang w:val="en-US" w:bidi="ar-SA"/>
        </w:rPr>
        <w:t>在省平台（www. gdmede.com.cn）公示并接受复核申请。复核申请应在公示期间内提出，并依法依规提供合法有效证明材料。未提供相应证明材料的，原则上不予受理。</w:t>
      </w:r>
    </w:p>
    <w:p>
      <w:pPr>
        <w:autoSpaceDE/>
        <w:autoSpaceDN/>
        <w:spacing w:line="600" w:lineRule="exact"/>
        <w:ind w:firstLine="602" w:firstLineChars="200"/>
        <w:jc w:val="both"/>
        <w:rPr>
          <w:rFonts w:ascii="Times New Roman" w:hAnsi="Times New Roman" w:cs="Times New Roman"/>
          <w:b/>
          <w:bCs/>
          <w:kern w:val="2"/>
          <w:sz w:val="30"/>
          <w:szCs w:val="30"/>
          <w:highlight w:val="none"/>
          <w:lang w:val="en-US" w:bidi="ar-SA"/>
        </w:rPr>
      </w:pPr>
      <w:r>
        <w:rPr>
          <w:rFonts w:ascii="Times New Roman" w:hAnsi="Times New Roman" w:cs="Times New Roman"/>
          <w:b/>
          <w:bCs/>
          <w:kern w:val="2"/>
          <w:sz w:val="30"/>
          <w:szCs w:val="30"/>
          <w:highlight w:val="none"/>
          <w:lang w:val="en-US" w:bidi="ar-SA"/>
        </w:rPr>
        <w:t>（</w:t>
      </w:r>
      <w:r>
        <w:rPr>
          <w:rFonts w:hint="eastAsia" w:ascii="Times New Roman" w:hAnsi="Times New Roman" w:cs="Times New Roman"/>
          <w:b/>
          <w:bCs/>
          <w:kern w:val="2"/>
          <w:sz w:val="30"/>
          <w:szCs w:val="30"/>
          <w:highlight w:val="none"/>
          <w:lang w:val="en-US" w:eastAsia="zh-CN" w:bidi="ar-SA"/>
        </w:rPr>
        <w:t>七</w:t>
      </w:r>
      <w:r>
        <w:rPr>
          <w:rFonts w:ascii="Times New Roman" w:hAnsi="Times New Roman" w:cs="Times New Roman"/>
          <w:b/>
          <w:bCs/>
          <w:kern w:val="2"/>
          <w:sz w:val="30"/>
          <w:szCs w:val="30"/>
          <w:highlight w:val="none"/>
          <w:lang w:val="en-US" w:bidi="ar-SA"/>
        </w:rPr>
        <w:t>）确认</w:t>
      </w:r>
      <w:r>
        <w:rPr>
          <w:rFonts w:hint="eastAsia" w:ascii="Times New Roman" w:hAnsi="Times New Roman" w:cs="Times New Roman"/>
          <w:b/>
          <w:bCs/>
          <w:kern w:val="2"/>
          <w:sz w:val="30"/>
          <w:szCs w:val="30"/>
          <w:highlight w:val="none"/>
          <w:lang w:val="en-US" w:bidi="ar-SA"/>
        </w:rPr>
        <w:t>待分配</w:t>
      </w:r>
      <w:r>
        <w:rPr>
          <w:rFonts w:ascii="Times New Roman" w:hAnsi="Times New Roman" w:cs="Times New Roman"/>
          <w:b/>
          <w:bCs/>
          <w:kern w:val="2"/>
          <w:sz w:val="30"/>
          <w:szCs w:val="30"/>
          <w:highlight w:val="none"/>
          <w:lang w:val="en-US" w:bidi="ar-SA"/>
        </w:rPr>
        <w:t>量</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1</w:t>
      </w:r>
      <w:r>
        <w:rPr>
          <w:rFonts w:ascii="Times New Roman" w:hAnsi="Times New Roman" w:cs="Times New Roman"/>
          <w:kern w:val="2"/>
          <w:sz w:val="30"/>
          <w:szCs w:val="30"/>
          <w:highlight w:val="none"/>
          <w:lang w:val="en-US" w:bidi="ar-SA"/>
        </w:rPr>
        <w:t>.</w:t>
      </w:r>
      <w:r>
        <w:rPr>
          <w:rFonts w:hint="eastAsia" w:ascii="Times New Roman" w:hAnsi="Times New Roman" w:cs="Times New Roman"/>
          <w:kern w:val="2"/>
          <w:sz w:val="30"/>
          <w:szCs w:val="30"/>
          <w:highlight w:val="none"/>
          <w:lang w:val="en-US" w:bidi="ar-SA"/>
        </w:rPr>
        <w:t>待分配量是指：非独家产品A采购单</w:t>
      </w:r>
      <w:r>
        <w:rPr>
          <w:rFonts w:hint="eastAsia" w:ascii="Times New Roman" w:hAnsi="Times New Roman" w:cs="Times New Roman"/>
          <w:kern w:val="2"/>
          <w:sz w:val="30"/>
          <w:szCs w:val="30"/>
          <w:highlight w:val="none"/>
          <w:lang w:val="en-US" w:eastAsia="zh-CN" w:bidi="ar-SA"/>
        </w:rPr>
        <w:t>拟中选产品首年确认的预采购量70%以外的量</w:t>
      </w:r>
      <w:r>
        <w:rPr>
          <w:rFonts w:hint="eastAsia" w:ascii="Times New Roman" w:hAnsi="Times New Roman" w:cs="Times New Roman"/>
          <w:kern w:val="2"/>
          <w:sz w:val="30"/>
          <w:szCs w:val="30"/>
          <w:highlight w:val="none"/>
          <w:lang w:val="en-US" w:bidi="ar-SA"/>
        </w:rPr>
        <w:t>。</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2</w:t>
      </w:r>
      <w:r>
        <w:rPr>
          <w:rFonts w:ascii="Times New Roman" w:hAnsi="Times New Roman" w:cs="Times New Roman"/>
          <w:kern w:val="2"/>
          <w:sz w:val="30"/>
          <w:szCs w:val="30"/>
          <w:highlight w:val="none"/>
          <w:lang w:val="en-US" w:bidi="ar-SA"/>
        </w:rPr>
        <w:t>.获得</w:t>
      </w:r>
      <w:r>
        <w:rPr>
          <w:rFonts w:hint="eastAsia" w:ascii="Times New Roman" w:hAnsi="Times New Roman" w:cs="Times New Roman"/>
          <w:kern w:val="2"/>
          <w:sz w:val="30"/>
          <w:szCs w:val="30"/>
          <w:highlight w:val="none"/>
          <w:lang w:val="en-US" w:bidi="ar-SA"/>
        </w:rPr>
        <w:t>待分配量</w:t>
      </w:r>
      <w:r>
        <w:rPr>
          <w:rFonts w:ascii="Times New Roman" w:hAnsi="Times New Roman" w:cs="Times New Roman"/>
          <w:kern w:val="2"/>
          <w:sz w:val="30"/>
          <w:szCs w:val="30"/>
          <w:highlight w:val="none"/>
          <w:lang w:val="en-US" w:bidi="ar-SA"/>
        </w:rPr>
        <w:t>资格的是：</w:t>
      </w:r>
      <w:r>
        <w:rPr>
          <w:rFonts w:hint="eastAsia" w:ascii="Times New Roman" w:hAnsi="Times New Roman" w:cs="Times New Roman"/>
          <w:kern w:val="2"/>
          <w:sz w:val="30"/>
          <w:szCs w:val="30"/>
          <w:highlight w:val="none"/>
          <w:lang w:val="en-US" w:bidi="ar-SA"/>
        </w:rPr>
        <w:t>非独家产品A采购单第二</w:t>
      </w:r>
      <w:r>
        <w:rPr>
          <w:rFonts w:hint="eastAsia" w:ascii="Times New Roman" w:hAnsi="Times New Roman" w:cs="Times New Roman"/>
          <w:kern w:val="2"/>
          <w:sz w:val="30"/>
          <w:szCs w:val="30"/>
          <w:highlight w:val="none"/>
          <w:lang w:val="en-US" w:eastAsia="zh-CN" w:bidi="ar-SA"/>
        </w:rPr>
        <w:t>梯级</w:t>
      </w:r>
      <w:r>
        <w:rPr>
          <w:rFonts w:hint="eastAsia" w:ascii="Times New Roman" w:hAnsi="Times New Roman" w:cs="Times New Roman"/>
          <w:kern w:val="2"/>
          <w:sz w:val="30"/>
          <w:szCs w:val="30"/>
          <w:highlight w:val="none"/>
          <w:lang w:val="en-US" w:bidi="ar-SA"/>
        </w:rPr>
        <w:t>竞价</w:t>
      </w:r>
      <w:r>
        <w:rPr>
          <w:rFonts w:ascii="Times New Roman" w:hAnsi="Times New Roman" w:cs="Times New Roman"/>
          <w:kern w:val="2"/>
          <w:sz w:val="30"/>
          <w:szCs w:val="30"/>
          <w:highlight w:val="none"/>
          <w:lang w:val="en-US" w:bidi="ar-SA"/>
        </w:rPr>
        <w:t>拟中选</w:t>
      </w:r>
      <w:r>
        <w:rPr>
          <w:rFonts w:hint="eastAsia" w:ascii="Times New Roman" w:hAnsi="Times New Roman" w:cs="Times New Roman"/>
          <w:kern w:val="2"/>
          <w:sz w:val="30"/>
          <w:szCs w:val="30"/>
          <w:highlight w:val="none"/>
          <w:lang w:val="en-US" w:bidi="ar-SA"/>
        </w:rPr>
        <w:t>和B采购单竞价</w:t>
      </w:r>
      <w:r>
        <w:rPr>
          <w:rFonts w:ascii="Times New Roman" w:hAnsi="Times New Roman" w:cs="Times New Roman"/>
          <w:kern w:val="2"/>
          <w:sz w:val="30"/>
          <w:szCs w:val="30"/>
          <w:highlight w:val="none"/>
          <w:lang w:val="en-US" w:bidi="ar-SA"/>
        </w:rPr>
        <w:t>拟中选</w:t>
      </w:r>
      <w:r>
        <w:rPr>
          <w:rFonts w:hint="eastAsia" w:ascii="Times New Roman" w:hAnsi="Times New Roman" w:cs="Times New Roman"/>
          <w:kern w:val="2"/>
          <w:sz w:val="30"/>
          <w:szCs w:val="30"/>
          <w:highlight w:val="none"/>
          <w:lang w:val="en-US" w:bidi="ar-SA"/>
        </w:rPr>
        <w:t>的</w:t>
      </w:r>
      <w:r>
        <w:rPr>
          <w:rFonts w:ascii="Times New Roman" w:hAnsi="Times New Roman" w:cs="Times New Roman"/>
          <w:kern w:val="2"/>
          <w:sz w:val="30"/>
          <w:szCs w:val="30"/>
          <w:highlight w:val="none"/>
          <w:lang w:val="en-US" w:bidi="ar-SA"/>
        </w:rPr>
        <w:t>产品</w:t>
      </w:r>
      <w:r>
        <w:rPr>
          <w:rFonts w:hint="eastAsia" w:ascii="Times New Roman" w:hAnsi="Times New Roman" w:cs="Times New Roman"/>
          <w:kern w:val="2"/>
          <w:sz w:val="30"/>
          <w:szCs w:val="30"/>
          <w:highlight w:val="none"/>
          <w:lang w:val="en-US" w:bidi="ar-SA"/>
        </w:rPr>
        <w:t>。</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3.省内医疗机构仅对</w:t>
      </w:r>
      <w:r>
        <w:rPr>
          <w:rFonts w:hint="eastAsia" w:ascii="Times New Roman" w:hAnsi="Times New Roman" w:cs="Times New Roman"/>
          <w:kern w:val="2"/>
          <w:sz w:val="30"/>
          <w:szCs w:val="30"/>
          <w:highlight w:val="none"/>
          <w:lang w:val="en-US" w:bidi="ar-SA"/>
        </w:rPr>
        <w:t>待分配量</w:t>
      </w:r>
      <w:r>
        <w:rPr>
          <w:rFonts w:ascii="Times New Roman" w:hAnsi="Times New Roman" w:cs="Times New Roman"/>
          <w:kern w:val="2"/>
          <w:sz w:val="30"/>
          <w:szCs w:val="30"/>
          <w:highlight w:val="none"/>
          <w:lang w:val="en-US" w:bidi="ar-SA"/>
        </w:rPr>
        <w:t>进行调整并确认。联盟地区相关省的医疗机构按上述规定调整确认</w:t>
      </w:r>
      <w:r>
        <w:rPr>
          <w:rFonts w:hint="eastAsia" w:ascii="Times New Roman" w:hAnsi="Times New Roman" w:cs="Times New Roman"/>
          <w:kern w:val="2"/>
          <w:sz w:val="30"/>
          <w:szCs w:val="30"/>
          <w:highlight w:val="none"/>
          <w:lang w:val="en-US" w:bidi="ar-SA"/>
        </w:rPr>
        <w:t>待分配量</w:t>
      </w:r>
      <w:r>
        <w:rPr>
          <w:rFonts w:ascii="Times New Roman" w:hAnsi="Times New Roman" w:cs="Times New Roman"/>
          <w:kern w:val="2"/>
          <w:sz w:val="30"/>
          <w:szCs w:val="30"/>
          <w:highlight w:val="none"/>
          <w:lang w:val="en-US" w:bidi="ar-SA"/>
        </w:rPr>
        <w:t>，亦可在省平台上操作，并报本省医疗保障局审核盖章后上传广东省平台。</w:t>
      </w:r>
    </w:p>
    <w:p>
      <w:pPr>
        <w:autoSpaceDE/>
        <w:autoSpaceDN/>
        <w:spacing w:line="600" w:lineRule="exact"/>
        <w:ind w:firstLine="602" w:firstLineChars="200"/>
        <w:jc w:val="both"/>
        <w:rPr>
          <w:rFonts w:ascii="Times New Roman" w:hAnsi="Times New Roman" w:cs="Times New Roman"/>
          <w:b/>
          <w:bCs/>
          <w:kern w:val="2"/>
          <w:sz w:val="30"/>
          <w:szCs w:val="30"/>
          <w:highlight w:val="none"/>
          <w:lang w:val="en-US" w:bidi="ar-SA"/>
        </w:rPr>
      </w:pPr>
      <w:r>
        <w:rPr>
          <w:rFonts w:ascii="Times New Roman" w:hAnsi="Times New Roman" w:cs="Times New Roman"/>
          <w:b/>
          <w:bCs/>
          <w:kern w:val="2"/>
          <w:sz w:val="30"/>
          <w:szCs w:val="30"/>
          <w:highlight w:val="none"/>
          <w:lang w:val="en-US" w:bidi="ar-SA"/>
        </w:rPr>
        <w:t>（</w:t>
      </w:r>
      <w:r>
        <w:rPr>
          <w:rFonts w:hint="eastAsia" w:ascii="Times New Roman" w:hAnsi="Times New Roman" w:cs="Times New Roman"/>
          <w:b/>
          <w:bCs/>
          <w:kern w:val="2"/>
          <w:sz w:val="30"/>
          <w:szCs w:val="30"/>
          <w:highlight w:val="none"/>
          <w:lang w:val="en-US" w:eastAsia="zh-CN" w:bidi="ar-SA"/>
        </w:rPr>
        <w:t>八</w:t>
      </w:r>
      <w:r>
        <w:rPr>
          <w:rFonts w:ascii="Times New Roman" w:hAnsi="Times New Roman" w:cs="Times New Roman"/>
          <w:b/>
          <w:bCs/>
          <w:kern w:val="2"/>
          <w:sz w:val="30"/>
          <w:szCs w:val="30"/>
          <w:highlight w:val="none"/>
          <w:lang w:val="en-US" w:bidi="ar-SA"/>
        </w:rPr>
        <w:t>）</w:t>
      </w:r>
      <w:r>
        <w:rPr>
          <w:rFonts w:hint="eastAsia" w:ascii="Times New Roman" w:hAnsi="Times New Roman" w:cs="Times New Roman"/>
          <w:b/>
          <w:bCs/>
          <w:kern w:val="2"/>
          <w:sz w:val="30"/>
          <w:szCs w:val="30"/>
          <w:highlight w:val="none"/>
          <w:lang w:val="en-US" w:bidi="ar-SA"/>
        </w:rPr>
        <w:t>确认</w:t>
      </w:r>
      <w:r>
        <w:rPr>
          <w:rFonts w:ascii="Times New Roman" w:hAnsi="Times New Roman" w:cs="Times New Roman"/>
          <w:b/>
          <w:bCs/>
          <w:kern w:val="2"/>
          <w:sz w:val="30"/>
          <w:szCs w:val="30"/>
          <w:highlight w:val="none"/>
          <w:lang w:val="en-US" w:bidi="ar-SA"/>
        </w:rPr>
        <w:t>预采购量</w:t>
      </w:r>
    </w:p>
    <w:p>
      <w:pPr>
        <w:autoSpaceDE/>
        <w:autoSpaceDN/>
        <w:spacing w:line="600" w:lineRule="exact"/>
        <w:ind w:firstLine="600" w:firstLineChars="200"/>
        <w:jc w:val="both"/>
        <w:rPr>
          <w:rFonts w:hint="eastAsia"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1.</w:t>
      </w:r>
      <w:r>
        <w:rPr>
          <w:rFonts w:hint="eastAsia" w:ascii="Times New Roman" w:hAnsi="Times New Roman" w:cs="Times New Roman"/>
          <w:kern w:val="2"/>
          <w:sz w:val="30"/>
          <w:szCs w:val="30"/>
          <w:highlight w:val="none"/>
          <w:lang w:val="en-US" w:eastAsia="zh-CN" w:bidi="ar-SA"/>
        </w:rPr>
        <w:t>独家产品</w:t>
      </w:r>
      <w:r>
        <w:rPr>
          <w:rFonts w:hint="eastAsia" w:ascii="Times New Roman" w:hAnsi="Times New Roman" w:cs="Times New Roman"/>
          <w:kern w:val="2"/>
          <w:sz w:val="30"/>
          <w:szCs w:val="30"/>
          <w:highlight w:val="none"/>
          <w:lang w:val="en-US" w:bidi="ar-SA"/>
        </w:rPr>
        <w:t>A采购单第一</w:t>
      </w:r>
      <w:r>
        <w:rPr>
          <w:rFonts w:hint="eastAsia" w:ascii="Times New Roman" w:hAnsi="Times New Roman" w:cs="Times New Roman"/>
          <w:kern w:val="2"/>
          <w:sz w:val="30"/>
          <w:szCs w:val="30"/>
          <w:highlight w:val="none"/>
          <w:lang w:val="en-US" w:eastAsia="zh-CN" w:bidi="ar-SA"/>
        </w:rPr>
        <w:t>梯级</w:t>
      </w:r>
      <w:r>
        <w:rPr>
          <w:rFonts w:hint="eastAsia" w:ascii="Times New Roman" w:hAnsi="Times New Roman" w:cs="Times New Roman"/>
          <w:kern w:val="2"/>
          <w:sz w:val="30"/>
          <w:szCs w:val="30"/>
          <w:highlight w:val="none"/>
          <w:lang w:val="en-US" w:bidi="ar-SA"/>
        </w:rPr>
        <w:t>拟中选产品</w:t>
      </w:r>
      <w:r>
        <w:rPr>
          <w:rFonts w:hint="eastAsia" w:ascii="Times New Roman" w:hAnsi="Times New Roman" w:cs="Times New Roman"/>
          <w:kern w:val="2"/>
          <w:sz w:val="30"/>
          <w:szCs w:val="30"/>
          <w:highlight w:val="none"/>
          <w:lang w:val="en-US" w:eastAsia="zh-CN" w:bidi="ar-SA"/>
        </w:rPr>
        <w:t>获得</w:t>
      </w:r>
      <w:r>
        <w:rPr>
          <w:rFonts w:hint="eastAsia" w:ascii="Times New Roman" w:hAnsi="Times New Roman" w:cs="Times New Roman"/>
          <w:kern w:val="2"/>
          <w:sz w:val="30"/>
          <w:szCs w:val="30"/>
          <w:highlight w:val="none"/>
          <w:lang w:val="en-US" w:bidi="ar-SA"/>
        </w:rPr>
        <w:t>采购期首年预采购量50%</w:t>
      </w:r>
      <w:r>
        <w:rPr>
          <w:rFonts w:hint="eastAsia" w:ascii="Times New Roman" w:hAnsi="Times New Roman" w:cs="Times New Roman"/>
          <w:kern w:val="2"/>
          <w:sz w:val="30"/>
          <w:szCs w:val="30"/>
          <w:highlight w:val="none"/>
          <w:lang w:val="en-US" w:eastAsia="zh-CN" w:bidi="ar-SA"/>
        </w:rPr>
        <w:t>（监控独家产品）/</w:t>
      </w:r>
      <w:r>
        <w:rPr>
          <w:rFonts w:hint="eastAsia" w:ascii="Times New Roman" w:hAnsi="Times New Roman" w:cs="Times New Roman"/>
          <w:kern w:val="2"/>
          <w:sz w:val="30"/>
          <w:szCs w:val="30"/>
          <w:highlight w:val="none"/>
          <w:lang w:val="en-US" w:bidi="ar-SA"/>
        </w:rPr>
        <w:t>70%</w:t>
      </w:r>
      <w:r>
        <w:rPr>
          <w:rFonts w:hint="eastAsia" w:ascii="Times New Roman" w:hAnsi="Times New Roman" w:cs="Times New Roman"/>
          <w:kern w:val="2"/>
          <w:sz w:val="30"/>
          <w:szCs w:val="30"/>
          <w:highlight w:val="none"/>
          <w:lang w:val="en-US" w:eastAsia="zh-CN" w:bidi="ar-SA"/>
        </w:rPr>
        <w:t>（非监控独家产品）；</w:t>
      </w:r>
      <w:r>
        <w:rPr>
          <w:rFonts w:hint="eastAsia" w:ascii="Times New Roman" w:hAnsi="Times New Roman" w:cs="Times New Roman"/>
          <w:kern w:val="2"/>
          <w:sz w:val="30"/>
          <w:szCs w:val="30"/>
          <w:highlight w:val="none"/>
          <w:lang w:val="en-US" w:bidi="ar-SA"/>
        </w:rPr>
        <w:t>A采购单第二</w:t>
      </w:r>
      <w:r>
        <w:rPr>
          <w:rFonts w:hint="eastAsia" w:ascii="Times New Roman" w:hAnsi="Times New Roman" w:cs="Times New Roman"/>
          <w:kern w:val="2"/>
          <w:sz w:val="30"/>
          <w:szCs w:val="30"/>
          <w:highlight w:val="none"/>
          <w:lang w:val="en-US" w:eastAsia="zh-CN" w:bidi="ar-SA"/>
        </w:rPr>
        <w:t>梯级</w:t>
      </w:r>
      <w:r>
        <w:rPr>
          <w:rFonts w:hint="eastAsia" w:ascii="Times New Roman" w:hAnsi="Times New Roman" w:cs="Times New Roman"/>
          <w:kern w:val="2"/>
          <w:sz w:val="30"/>
          <w:szCs w:val="30"/>
          <w:highlight w:val="none"/>
          <w:lang w:val="en-US" w:bidi="ar-SA"/>
        </w:rPr>
        <w:t>拟中选产品</w:t>
      </w:r>
      <w:r>
        <w:rPr>
          <w:rFonts w:hint="eastAsia" w:ascii="Times New Roman" w:hAnsi="Times New Roman" w:cs="Times New Roman"/>
          <w:kern w:val="2"/>
          <w:sz w:val="30"/>
          <w:szCs w:val="30"/>
          <w:highlight w:val="none"/>
          <w:lang w:val="en-US" w:eastAsia="zh-CN" w:bidi="ar-SA"/>
        </w:rPr>
        <w:t>获得</w:t>
      </w:r>
      <w:r>
        <w:rPr>
          <w:rFonts w:hint="eastAsia" w:ascii="Times New Roman" w:hAnsi="Times New Roman" w:cs="Times New Roman"/>
          <w:kern w:val="2"/>
          <w:sz w:val="30"/>
          <w:szCs w:val="30"/>
          <w:highlight w:val="none"/>
          <w:lang w:val="en-US" w:bidi="ar-SA"/>
        </w:rPr>
        <w:t>采购期首年预采购量</w:t>
      </w:r>
      <w:r>
        <w:rPr>
          <w:rFonts w:hint="eastAsia" w:ascii="Times New Roman" w:hAnsi="Times New Roman" w:cs="Times New Roman"/>
          <w:kern w:val="2"/>
          <w:sz w:val="30"/>
          <w:szCs w:val="30"/>
          <w:highlight w:val="none"/>
          <w:lang w:val="en-US" w:eastAsia="zh-CN" w:bidi="ar-SA"/>
        </w:rPr>
        <w:t>10</w:t>
      </w:r>
      <w:r>
        <w:rPr>
          <w:rFonts w:hint="eastAsia" w:ascii="Times New Roman" w:hAnsi="Times New Roman" w:cs="Times New Roman"/>
          <w:kern w:val="2"/>
          <w:sz w:val="30"/>
          <w:szCs w:val="30"/>
          <w:highlight w:val="none"/>
          <w:lang w:val="en-US" w:bidi="ar-SA"/>
        </w:rPr>
        <w:t>0%。独家产品第二</w:t>
      </w:r>
      <w:r>
        <w:rPr>
          <w:rFonts w:hint="eastAsia" w:ascii="Times New Roman" w:hAnsi="Times New Roman" w:cs="Times New Roman"/>
          <w:kern w:val="2"/>
          <w:sz w:val="30"/>
          <w:szCs w:val="30"/>
          <w:highlight w:val="none"/>
          <w:lang w:val="en-US" w:eastAsia="zh-CN" w:bidi="ar-SA"/>
        </w:rPr>
        <w:t>梯级</w:t>
      </w:r>
      <w:r>
        <w:rPr>
          <w:rFonts w:hint="eastAsia" w:ascii="Times New Roman" w:hAnsi="Times New Roman" w:cs="Times New Roman"/>
          <w:kern w:val="2"/>
          <w:sz w:val="30"/>
          <w:szCs w:val="30"/>
          <w:highlight w:val="none"/>
          <w:lang w:val="en-US" w:bidi="ar-SA"/>
        </w:rPr>
        <w:t>未中选的，在采购期首年完成本企业中选价格所对应的</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采购量后，</w:t>
      </w:r>
      <w:r>
        <w:rPr>
          <w:rFonts w:hint="eastAsia" w:ascii="Times New Roman" w:hAnsi="Times New Roman" w:cs="Times New Roman"/>
          <w:kern w:val="2"/>
          <w:sz w:val="30"/>
          <w:szCs w:val="30"/>
          <w:highlight w:val="none"/>
          <w:lang w:val="en-US" w:bidi="ar-SA"/>
        </w:rPr>
        <w:t>由医疗机构</w:t>
      </w:r>
      <w:r>
        <w:rPr>
          <w:rFonts w:hint="eastAsia" w:ascii="Times New Roman" w:hAnsi="Times New Roman" w:eastAsia="仿宋" w:cs="Times New Roman"/>
          <w:kern w:val="2"/>
          <w:sz w:val="30"/>
          <w:szCs w:val="30"/>
          <w:highlight w:val="none"/>
          <w:lang w:val="en-US" w:bidi="ar-SA"/>
        </w:rPr>
        <w:t>按照</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各采购平台</w:t>
      </w:r>
      <w:r>
        <w:rPr>
          <w:rFonts w:hint="eastAsia" w:ascii="Times New Roman" w:hAnsi="Times New Roman" w:cs="Times New Roman"/>
          <w:kern w:val="2"/>
          <w:sz w:val="30"/>
          <w:szCs w:val="30"/>
          <w:highlight w:val="none"/>
          <w:lang w:val="en-US" w:bidi="ar-SA"/>
        </w:rPr>
        <w:t>自主（备案）采购的通道进行采购。</w:t>
      </w:r>
    </w:p>
    <w:p>
      <w:pPr>
        <w:autoSpaceDE/>
        <w:autoSpaceDN/>
        <w:spacing w:line="600" w:lineRule="exact"/>
        <w:ind w:firstLine="600" w:firstLineChars="200"/>
        <w:jc w:val="both"/>
        <w:rPr>
          <w:rFonts w:hint="eastAsia"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eastAsia="zh-CN" w:bidi="ar-SA"/>
        </w:rPr>
        <w:t>2</w:t>
      </w:r>
      <w:r>
        <w:rPr>
          <w:rFonts w:hint="eastAsia" w:ascii="Times New Roman" w:hAnsi="Times New Roman" w:cs="Times New Roman"/>
          <w:kern w:val="2"/>
          <w:sz w:val="30"/>
          <w:szCs w:val="30"/>
          <w:highlight w:val="none"/>
          <w:lang w:val="en-US" w:bidi="ar-SA"/>
        </w:rPr>
        <w:t>.</w:t>
      </w:r>
      <w:r>
        <w:rPr>
          <w:rFonts w:hint="eastAsia" w:ascii="Times New Roman" w:hAnsi="Times New Roman" w:cs="Times New Roman"/>
          <w:kern w:val="2"/>
          <w:sz w:val="30"/>
          <w:szCs w:val="30"/>
          <w:highlight w:val="none"/>
          <w:lang w:val="en-US" w:eastAsia="zh-CN" w:bidi="ar-SA"/>
        </w:rPr>
        <w:t>非独家产品</w:t>
      </w:r>
      <w:r>
        <w:rPr>
          <w:rFonts w:hint="eastAsia" w:ascii="Times New Roman" w:hAnsi="Times New Roman" w:cs="Times New Roman"/>
          <w:kern w:val="2"/>
          <w:sz w:val="30"/>
          <w:szCs w:val="30"/>
          <w:highlight w:val="none"/>
          <w:lang w:val="en-US" w:bidi="ar-SA"/>
        </w:rPr>
        <w:t>A采购单第一</w:t>
      </w:r>
      <w:r>
        <w:rPr>
          <w:rFonts w:hint="eastAsia" w:ascii="Times New Roman" w:hAnsi="Times New Roman" w:cs="Times New Roman"/>
          <w:kern w:val="2"/>
          <w:sz w:val="30"/>
          <w:szCs w:val="30"/>
          <w:highlight w:val="none"/>
          <w:lang w:val="en-US" w:eastAsia="zh-CN" w:bidi="ar-SA"/>
        </w:rPr>
        <w:t>梯级</w:t>
      </w:r>
      <w:r>
        <w:rPr>
          <w:rFonts w:hint="eastAsia" w:ascii="Times New Roman" w:hAnsi="Times New Roman" w:cs="Times New Roman"/>
          <w:kern w:val="2"/>
          <w:sz w:val="30"/>
          <w:szCs w:val="30"/>
          <w:highlight w:val="none"/>
          <w:lang w:val="en-US" w:bidi="ar-SA"/>
        </w:rPr>
        <w:t>拟中选产品</w:t>
      </w:r>
      <w:r>
        <w:rPr>
          <w:rFonts w:hint="eastAsia" w:ascii="Times New Roman" w:hAnsi="Times New Roman" w:cs="Times New Roman"/>
          <w:kern w:val="2"/>
          <w:sz w:val="30"/>
          <w:szCs w:val="30"/>
          <w:highlight w:val="none"/>
          <w:lang w:val="en-US" w:eastAsia="zh-CN" w:bidi="ar-SA"/>
        </w:rPr>
        <w:t>获得</w:t>
      </w:r>
      <w:r>
        <w:rPr>
          <w:rFonts w:hint="eastAsia" w:ascii="Times New Roman" w:hAnsi="Times New Roman" w:cs="Times New Roman"/>
          <w:kern w:val="2"/>
          <w:sz w:val="30"/>
          <w:szCs w:val="30"/>
          <w:highlight w:val="none"/>
          <w:lang w:val="en-US" w:bidi="ar-SA"/>
        </w:rPr>
        <w:t>采购期首年预采购量70%</w:t>
      </w:r>
      <w:r>
        <w:rPr>
          <w:rFonts w:hint="eastAsia" w:ascii="Times New Roman" w:hAnsi="Times New Roman" w:cs="Times New Roman"/>
          <w:kern w:val="2"/>
          <w:sz w:val="30"/>
          <w:szCs w:val="30"/>
          <w:highlight w:val="none"/>
          <w:lang w:val="en-US" w:eastAsia="zh-CN" w:bidi="ar-SA"/>
        </w:rPr>
        <w:t>；</w:t>
      </w:r>
      <w:r>
        <w:rPr>
          <w:rFonts w:hint="eastAsia" w:ascii="Times New Roman" w:hAnsi="Times New Roman" w:cs="Times New Roman"/>
          <w:kern w:val="2"/>
          <w:sz w:val="30"/>
          <w:szCs w:val="30"/>
          <w:highlight w:val="none"/>
          <w:lang w:val="en-US" w:bidi="ar-SA"/>
        </w:rPr>
        <w:t>A采购单第二</w:t>
      </w:r>
      <w:r>
        <w:rPr>
          <w:rFonts w:hint="eastAsia" w:ascii="Times New Roman" w:hAnsi="Times New Roman" w:cs="Times New Roman"/>
          <w:kern w:val="2"/>
          <w:sz w:val="30"/>
          <w:szCs w:val="30"/>
          <w:highlight w:val="none"/>
          <w:lang w:val="en-US" w:eastAsia="zh-CN" w:bidi="ar-SA"/>
        </w:rPr>
        <w:t>梯级</w:t>
      </w:r>
      <w:r>
        <w:rPr>
          <w:rFonts w:hint="eastAsia" w:ascii="Times New Roman" w:hAnsi="Times New Roman" w:cs="Times New Roman"/>
          <w:kern w:val="2"/>
          <w:sz w:val="30"/>
          <w:szCs w:val="30"/>
          <w:highlight w:val="none"/>
          <w:lang w:val="en-US" w:bidi="ar-SA"/>
        </w:rPr>
        <w:t>拟中选产品</w:t>
      </w:r>
      <w:r>
        <w:rPr>
          <w:rFonts w:hint="eastAsia" w:ascii="Times New Roman" w:hAnsi="Times New Roman" w:cs="Times New Roman"/>
          <w:kern w:val="2"/>
          <w:sz w:val="30"/>
          <w:szCs w:val="30"/>
          <w:highlight w:val="none"/>
          <w:lang w:val="en-US" w:eastAsia="zh-CN" w:bidi="ar-SA"/>
        </w:rPr>
        <w:t>获得</w:t>
      </w:r>
      <w:r>
        <w:rPr>
          <w:rFonts w:hint="eastAsia" w:ascii="Times New Roman" w:hAnsi="Times New Roman" w:cs="Times New Roman"/>
          <w:kern w:val="2"/>
          <w:sz w:val="30"/>
          <w:szCs w:val="30"/>
          <w:highlight w:val="none"/>
          <w:lang w:val="en-US" w:bidi="ar-SA"/>
        </w:rPr>
        <w:t>采购期首年预采购量</w:t>
      </w:r>
      <w:r>
        <w:rPr>
          <w:rFonts w:hint="eastAsia" w:ascii="Times New Roman" w:hAnsi="Times New Roman" w:cs="Times New Roman"/>
          <w:kern w:val="2"/>
          <w:sz w:val="30"/>
          <w:szCs w:val="30"/>
          <w:highlight w:val="none"/>
          <w:lang w:val="en-US" w:eastAsia="zh-CN" w:bidi="ar-SA"/>
        </w:rPr>
        <w:t>7</w:t>
      </w:r>
      <w:r>
        <w:rPr>
          <w:rFonts w:hint="eastAsia" w:ascii="Times New Roman" w:hAnsi="Times New Roman" w:cs="Times New Roman"/>
          <w:kern w:val="2"/>
          <w:sz w:val="30"/>
          <w:szCs w:val="30"/>
          <w:highlight w:val="none"/>
          <w:lang w:val="en-US" w:bidi="ar-SA"/>
        </w:rPr>
        <w:t>0%以及确认的分配量</w:t>
      </w:r>
      <w:r>
        <w:rPr>
          <w:rFonts w:hint="eastAsia" w:ascii="Times New Roman" w:hAnsi="Times New Roman" w:cs="Times New Roman"/>
          <w:kern w:val="2"/>
          <w:sz w:val="30"/>
          <w:szCs w:val="30"/>
          <w:highlight w:val="none"/>
          <w:lang w:val="en-US" w:eastAsia="zh-CN" w:bidi="ar-SA"/>
        </w:rPr>
        <w:t>；</w:t>
      </w:r>
      <w:r>
        <w:rPr>
          <w:rFonts w:hint="eastAsia" w:ascii="Times New Roman" w:hAnsi="Times New Roman" w:cs="Times New Roman"/>
          <w:kern w:val="2"/>
          <w:sz w:val="30"/>
          <w:szCs w:val="30"/>
          <w:highlight w:val="none"/>
          <w:lang w:val="en-US" w:bidi="ar-SA"/>
        </w:rPr>
        <w:t>B采购单的拟中选产品获得确认的分配量。</w:t>
      </w:r>
    </w:p>
    <w:p>
      <w:pPr>
        <w:autoSpaceDE/>
        <w:autoSpaceDN/>
        <w:spacing w:line="600" w:lineRule="exact"/>
        <w:ind w:firstLine="602" w:firstLineChars="200"/>
        <w:jc w:val="both"/>
        <w:rPr>
          <w:rFonts w:ascii="Times New Roman" w:hAnsi="Times New Roman" w:cs="Times New Roman"/>
          <w:b/>
          <w:bCs/>
          <w:kern w:val="2"/>
          <w:sz w:val="30"/>
          <w:szCs w:val="30"/>
          <w:highlight w:val="none"/>
          <w:lang w:val="en-US" w:bidi="ar-SA"/>
        </w:rPr>
      </w:pPr>
      <w:r>
        <w:rPr>
          <w:rFonts w:ascii="Times New Roman" w:hAnsi="Times New Roman" w:cs="Times New Roman"/>
          <w:b/>
          <w:bCs/>
          <w:kern w:val="2"/>
          <w:sz w:val="30"/>
          <w:szCs w:val="30"/>
          <w:highlight w:val="none"/>
          <w:lang w:val="en-US" w:bidi="ar-SA"/>
        </w:rPr>
        <w:t>（</w:t>
      </w:r>
      <w:r>
        <w:rPr>
          <w:rFonts w:hint="eastAsia" w:ascii="Times New Roman" w:hAnsi="Times New Roman" w:cs="Times New Roman"/>
          <w:b/>
          <w:bCs/>
          <w:kern w:val="2"/>
          <w:sz w:val="30"/>
          <w:szCs w:val="30"/>
          <w:highlight w:val="none"/>
          <w:lang w:val="en-US" w:eastAsia="zh-CN" w:bidi="ar-SA"/>
        </w:rPr>
        <w:t>九</w:t>
      </w:r>
      <w:r>
        <w:rPr>
          <w:rFonts w:ascii="Times New Roman" w:hAnsi="Times New Roman" w:cs="Times New Roman"/>
          <w:b/>
          <w:bCs/>
          <w:kern w:val="2"/>
          <w:sz w:val="30"/>
          <w:szCs w:val="30"/>
          <w:highlight w:val="none"/>
          <w:lang w:val="en-US" w:bidi="ar-SA"/>
        </w:rPr>
        <w:t>）确定中选结果</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bookmarkStart w:id="37" w:name="_Toc18277"/>
      <w:bookmarkStart w:id="38" w:name="_Toc57277301"/>
      <w:r>
        <w:rPr>
          <w:rFonts w:hint="eastAsia" w:ascii="Times New Roman" w:hAnsi="Times New Roman" w:cs="Times New Roman"/>
          <w:kern w:val="2"/>
          <w:sz w:val="30"/>
          <w:szCs w:val="30"/>
          <w:highlight w:val="none"/>
          <w:lang w:val="en-US" w:bidi="ar-SA"/>
        </w:rPr>
        <w:t>1.</w:t>
      </w:r>
      <w:r>
        <w:rPr>
          <w:rFonts w:ascii="Times New Roman" w:hAnsi="Times New Roman" w:cs="Times New Roman"/>
          <w:kern w:val="2"/>
          <w:sz w:val="30"/>
          <w:szCs w:val="30"/>
          <w:highlight w:val="none"/>
          <w:lang w:val="en-US" w:bidi="ar-SA"/>
        </w:rPr>
        <w:t>依据医疗机构确认的最终报量</w:t>
      </w:r>
      <w:r>
        <w:rPr>
          <w:rFonts w:hint="eastAsia" w:ascii="Times New Roman" w:hAnsi="Times New Roman" w:cs="Times New Roman"/>
          <w:kern w:val="2"/>
          <w:sz w:val="30"/>
          <w:szCs w:val="30"/>
          <w:highlight w:val="none"/>
          <w:lang w:val="en-US" w:bidi="ar-SA"/>
        </w:rPr>
        <w:t>作为对应的拟中选产品采购期首年预采购总量。A/B采购单的所有拟中选产品以及对应的采购期首年预采购总量为本次集团采购的中选结果。</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eastAsia="zh-CN" w:bidi="ar-SA"/>
        </w:rPr>
        <w:t>2</w:t>
      </w:r>
      <w:r>
        <w:rPr>
          <w:rFonts w:hint="eastAsia" w:ascii="Times New Roman" w:hAnsi="Times New Roman" w:cs="Times New Roman"/>
          <w:kern w:val="2"/>
          <w:sz w:val="30"/>
          <w:szCs w:val="30"/>
          <w:highlight w:val="none"/>
          <w:lang w:val="en-US" w:bidi="ar-SA"/>
        </w:rPr>
        <w:t>.</w:t>
      </w:r>
      <w:r>
        <w:rPr>
          <w:rFonts w:ascii="Times New Roman" w:hAnsi="Times New Roman" w:cs="Times New Roman"/>
          <w:kern w:val="2"/>
          <w:sz w:val="30"/>
          <w:szCs w:val="30"/>
          <w:highlight w:val="none"/>
          <w:lang w:val="en-US" w:bidi="ar-SA"/>
        </w:rPr>
        <w:t>省药交中心将发布中选通知</w:t>
      </w:r>
      <w:r>
        <w:rPr>
          <w:rFonts w:hint="eastAsia" w:ascii="Times New Roman" w:hAnsi="Times New Roman" w:cs="Times New Roman"/>
          <w:kern w:val="2"/>
          <w:sz w:val="30"/>
          <w:szCs w:val="30"/>
          <w:highlight w:val="none"/>
          <w:lang w:val="en-US" w:bidi="ar-SA"/>
        </w:rPr>
        <w:t>，</w:t>
      </w:r>
      <w:r>
        <w:rPr>
          <w:rFonts w:ascii="Times New Roman" w:hAnsi="Times New Roman" w:cs="Times New Roman"/>
          <w:kern w:val="2"/>
          <w:sz w:val="30"/>
          <w:szCs w:val="30"/>
          <w:highlight w:val="none"/>
          <w:lang w:val="en-US" w:bidi="ar-SA"/>
        </w:rPr>
        <w:t>并以公证书的方式递交联盟地区的省级医疗保障局。</w:t>
      </w:r>
    </w:p>
    <w:p>
      <w:pPr>
        <w:autoSpaceDE/>
        <w:autoSpaceDN/>
        <w:spacing w:line="600" w:lineRule="exact"/>
        <w:ind w:firstLine="602" w:firstLineChars="200"/>
        <w:jc w:val="both"/>
        <w:rPr>
          <w:rFonts w:ascii="Times New Roman" w:hAnsi="Times New Roman" w:cs="Times New Roman"/>
          <w:b/>
          <w:bCs/>
          <w:kern w:val="2"/>
          <w:sz w:val="30"/>
          <w:szCs w:val="30"/>
          <w:highlight w:val="none"/>
          <w:lang w:val="en-US" w:bidi="ar-SA"/>
        </w:rPr>
      </w:pPr>
      <w:r>
        <w:rPr>
          <w:rFonts w:hint="eastAsia" w:ascii="Times New Roman" w:hAnsi="Times New Roman" w:cs="Times New Roman"/>
          <w:b/>
          <w:bCs/>
          <w:kern w:val="2"/>
          <w:sz w:val="30"/>
          <w:szCs w:val="30"/>
          <w:highlight w:val="none"/>
          <w:lang w:val="en-US" w:bidi="ar-SA"/>
        </w:rPr>
        <w:t>（</w:t>
      </w:r>
      <w:r>
        <w:rPr>
          <w:rFonts w:hint="eastAsia" w:ascii="Times New Roman" w:hAnsi="Times New Roman" w:cs="Times New Roman"/>
          <w:b/>
          <w:bCs/>
          <w:kern w:val="2"/>
          <w:sz w:val="30"/>
          <w:szCs w:val="30"/>
          <w:highlight w:val="none"/>
          <w:lang w:val="en-US" w:eastAsia="zh-CN" w:bidi="ar-SA"/>
        </w:rPr>
        <w:t>十</w:t>
      </w:r>
      <w:r>
        <w:rPr>
          <w:rFonts w:hint="eastAsia" w:ascii="Times New Roman" w:hAnsi="Times New Roman" w:cs="Times New Roman"/>
          <w:b/>
          <w:bCs/>
          <w:kern w:val="2"/>
          <w:sz w:val="30"/>
          <w:szCs w:val="30"/>
          <w:highlight w:val="none"/>
          <w:lang w:val="en-US" w:bidi="ar-SA"/>
        </w:rPr>
        <w:t>）中选药品使用约定</w:t>
      </w:r>
    </w:p>
    <w:p>
      <w:pPr>
        <w:spacing w:line="600" w:lineRule="exact"/>
        <w:ind w:firstLine="600" w:firstLineChars="200"/>
        <w:jc w:val="both"/>
        <w:textAlignment w:val="baseline"/>
        <w:rPr>
          <w:rFonts w:hint="default" w:ascii="Times New Roman" w:hAnsi="Times New Roman" w:eastAsia="仿宋"/>
          <w:kern w:val="2"/>
          <w:sz w:val="30"/>
          <w:szCs w:val="30"/>
          <w:highlight w:val="none"/>
          <w:lang w:val="en-US" w:eastAsia="zh-CN"/>
        </w:rPr>
      </w:pPr>
      <w:r>
        <w:rPr>
          <w:rFonts w:ascii="Times New Roman" w:hAnsi="Times New Roman"/>
          <w:kern w:val="2"/>
          <w:sz w:val="30"/>
          <w:szCs w:val="30"/>
          <w:highlight w:val="none"/>
        </w:rPr>
        <w:t>在采购年度内，医疗机构</w:t>
      </w:r>
      <w:r>
        <w:rPr>
          <w:rFonts w:hint="eastAsia" w:ascii="Times New Roman" w:hAnsi="Times New Roman"/>
          <w:kern w:val="2"/>
          <w:sz w:val="30"/>
          <w:szCs w:val="30"/>
          <w:highlight w:val="none"/>
        </w:rPr>
        <w:t>（</w:t>
      </w:r>
      <w:r>
        <w:rPr>
          <w:rFonts w:hint="eastAsia" w:ascii="Times New Roman" w:hAnsi="Times New Roman"/>
          <w:kern w:val="2"/>
          <w:sz w:val="30"/>
          <w:szCs w:val="30"/>
          <w:highlight w:val="none"/>
          <w:lang w:val="en-US"/>
        </w:rPr>
        <w:t>含未报量医疗机构</w:t>
      </w:r>
      <w:r>
        <w:rPr>
          <w:rFonts w:hint="eastAsia" w:ascii="Times New Roman" w:hAnsi="Times New Roman"/>
          <w:kern w:val="2"/>
          <w:sz w:val="30"/>
          <w:szCs w:val="30"/>
          <w:highlight w:val="none"/>
        </w:rPr>
        <w:t>）</w:t>
      </w:r>
      <w:r>
        <w:rPr>
          <w:rFonts w:hint="eastAsia" w:ascii="Times New Roman" w:hAnsi="Times New Roman"/>
          <w:kern w:val="2"/>
          <w:sz w:val="30"/>
          <w:szCs w:val="30"/>
          <w:highlight w:val="none"/>
          <w:lang w:val="en-US" w:eastAsia="zh-CN"/>
        </w:rPr>
        <w:t>非独家产品</w:t>
      </w:r>
      <w:r>
        <w:rPr>
          <w:rFonts w:hint="eastAsia" w:ascii="Times New Roman" w:hAnsi="Times New Roman"/>
          <w:kern w:val="2"/>
          <w:sz w:val="30"/>
          <w:szCs w:val="30"/>
          <w:highlight w:val="none"/>
          <w:lang w:val="en-US"/>
        </w:rPr>
        <w:t>中选</w:t>
      </w:r>
      <w:r>
        <w:rPr>
          <w:rFonts w:hint="eastAsia" w:ascii="Times New Roman" w:hAnsi="Times New Roman"/>
          <w:kern w:val="2"/>
          <w:sz w:val="30"/>
          <w:szCs w:val="30"/>
          <w:highlight w:val="none"/>
          <w:lang w:val="en-US" w:eastAsia="zh-CN"/>
        </w:rPr>
        <w:t>的</w:t>
      </w:r>
      <w:r>
        <w:rPr>
          <w:rFonts w:hint="eastAsia" w:ascii="Times New Roman" w:hAnsi="Times New Roman"/>
          <w:kern w:val="2"/>
          <w:sz w:val="30"/>
          <w:szCs w:val="30"/>
          <w:highlight w:val="none"/>
          <w:lang w:val="en-US"/>
        </w:rPr>
        <w:t>药品的</w:t>
      </w:r>
      <w:r>
        <w:rPr>
          <w:rFonts w:ascii="Times New Roman" w:hAnsi="Times New Roman"/>
          <w:kern w:val="2"/>
          <w:sz w:val="30"/>
          <w:szCs w:val="30"/>
          <w:highlight w:val="none"/>
        </w:rPr>
        <w:t>使用比例</w:t>
      </w:r>
      <w:r>
        <w:rPr>
          <w:rFonts w:hint="eastAsia" w:ascii="Times New Roman" w:hAnsi="Times New Roman"/>
          <w:kern w:val="2"/>
          <w:sz w:val="30"/>
          <w:szCs w:val="30"/>
          <w:highlight w:val="none"/>
          <w:lang w:val="en-US"/>
        </w:rPr>
        <w:t>不低于</w:t>
      </w:r>
      <w:r>
        <w:rPr>
          <w:rFonts w:hint="eastAsia" w:ascii="Times New Roman" w:hAnsi="Times New Roman"/>
          <w:kern w:val="2"/>
          <w:sz w:val="30"/>
          <w:szCs w:val="30"/>
          <w:highlight w:val="none"/>
          <w:lang w:val="en-US" w:eastAsia="zh-CN"/>
        </w:rPr>
        <w:t>70</w:t>
      </w:r>
      <w:r>
        <w:rPr>
          <w:rFonts w:ascii="Times New Roman" w:hAnsi="Times New Roman"/>
          <w:kern w:val="2"/>
          <w:sz w:val="30"/>
          <w:szCs w:val="30"/>
          <w:highlight w:val="none"/>
          <w:u w:val="none"/>
        </w:rPr>
        <w:t>%</w:t>
      </w:r>
      <w:r>
        <w:rPr>
          <w:rFonts w:hint="eastAsia" w:ascii="Times New Roman" w:hAnsi="Times New Roman"/>
          <w:kern w:val="2"/>
          <w:sz w:val="30"/>
          <w:szCs w:val="30"/>
          <w:highlight w:val="none"/>
        </w:rPr>
        <w:t>。</w:t>
      </w:r>
      <w:r>
        <w:rPr>
          <w:rFonts w:hint="eastAsia" w:ascii="Times New Roman" w:hAnsi="Times New Roman"/>
          <w:kern w:val="2"/>
          <w:sz w:val="30"/>
          <w:szCs w:val="30"/>
          <w:highlight w:val="none"/>
          <w:lang w:val="en-US" w:eastAsia="zh-CN"/>
        </w:rPr>
        <w:t>仅第一梯级中选的独家产品的使用量不超过约定采购量。</w:t>
      </w:r>
    </w:p>
    <w:p>
      <w:pPr>
        <w:autoSpaceDE/>
        <w:autoSpaceDN/>
        <w:spacing w:line="560" w:lineRule="exact"/>
        <w:ind w:firstLine="600" w:firstLineChars="200"/>
        <w:jc w:val="both"/>
        <w:rPr>
          <w:rFonts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六、</w:t>
      </w:r>
      <w:bookmarkEnd w:id="37"/>
      <w:r>
        <w:rPr>
          <w:rFonts w:hint="eastAsia" w:ascii="黑体" w:hAnsi="黑体" w:eastAsia="黑体" w:cs="黑体"/>
          <w:kern w:val="2"/>
          <w:sz w:val="30"/>
          <w:szCs w:val="30"/>
          <w:highlight w:val="none"/>
          <w:lang w:val="en-US" w:bidi="ar-SA"/>
        </w:rPr>
        <w:t>采购协议</w:t>
      </w:r>
      <w:bookmarkEnd w:id="38"/>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1.省药交中心发布中选通知后，按照中选企业及其中选价格在省平台上完成挂网工作，省内交易各方签订采购协议（</w:t>
      </w:r>
      <w:r>
        <w:rPr>
          <w:rFonts w:ascii="Times New Roman" w:hAnsi="Times New Roman" w:cs="Times New Roman"/>
          <w:kern w:val="2"/>
          <w:sz w:val="30"/>
          <w:szCs w:val="30"/>
          <w:highlight w:val="none"/>
          <w:lang w:val="en-US" w:bidi="ar-SA"/>
        </w:rPr>
        <w:t>附件2）并执行。</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2</w:t>
      </w:r>
      <w:r>
        <w:rPr>
          <w:rFonts w:ascii="Times New Roman" w:hAnsi="Times New Roman" w:cs="Times New Roman"/>
          <w:kern w:val="2"/>
          <w:sz w:val="30"/>
          <w:szCs w:val="30"/>
          <w:highlight w:val="none"/>
          <w:lang w:val="en-US" w:bidi="ar-SA"/>
        </w:rPr>
        <w:t>.联盟地区省医疗保障部门</w:t>
      </w:r>
      <w:r>
        <w:rPr>
          <w:rFonts w:hint="eastAsia" w:ascii="Times New Roman" w:hAnsi="Times New Roman" w:cs="Times New Roman"/>
          <w:kern w:val="2"/>
          <w:sz w:val="30"/>
          <w:szCs w:val="30"/>
          <w:highlight w:val="none"/>
          <w:lang w:val="en-US" w:bidi="ar-SA"/>
        </w:rPr>
        <w:t>根据本次药品集团采购中选结果自行确定执行时间，并</w:t>
      </w:r>
      <w:r>
        <w:rPr>
          <w:rFonts w:ascii="Times New Roman" w:hAnsi="Times New Roman" w:cs="Times New Roman"/>
          <w:kern w:val="2"/>
          <w:sz w:val="30"/>
          <w:szCs w:val="30"/>
          <w:highlight w:val="none"/>
          <w:lang w:val="en-US" w:bidi="ar-SA"/>
        </w:rPr>
        <w:t>组织签订采购协议。</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3.当首年采购期结束，第二年续签采购协议时，中选产品续签价格与本企业同产品的全国带量最低价联动；若A采购单的产品首年实际采购量超过约定采购量的，其续签价格取本企业P2价格与同品规的全国最低价的低值。</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4</w:t>
      </w:r>
      <w:r>
        <w:rPr>
          <w:rFonts w:ascii="Times New Roman" w:hAnsi="Times New Roman" w:cs="Times New Roman"/>
          <w:kern w:val="2"/>
          <w:sz w:val="30"/>
          <w:szCs w:val="30"/>
          <w:highlight w:val="none"/>
          <w:lang w:val="en-US" w:bidi="ar-SA"/>
        </w:rPr>
        <w:t>.采购协议签订后，采购方与中选企业不得再订立背离采购协议实质性内容的其他协议，或提出除采购协议之外的任何利益性要求。</w:t>
      </w:r>
    </w:p>
    <w:p>
      <w:pPr>
        <w:autoSpaceDE/>
        <w:autoSpaceDN/>
        <w:spacing w:line="560" w:lineRule="exact"/>
        <w:ind w:firstLine="600" w:firstLineChars="200"/>
        <w:jc w:val="both"/>
        <w:rPr>
          <w:rFonts w:ascii="黑体" w:hAnsi="黑体" w:eastAsia="黑体" w:cs="黑体"/>
          <w:kern w:val="2"/>
          <w:sz w:val="30"/>
          <w:szCs w:val="30"/>
          <w:highlight w:val="none"/>
          <w:lang w:val="en-US" w:bidi="ar-SA"/>
        </w:rPr>
      </w:pPr>
      <w:r>
        <w:rPr>
          <w:rFonts w:hint="eastAsia" w:ascii="黑体" w:hAnsi="黑体" w:eastAsia="黑体" w:cs="黑体"/>
          <w:kern w:val="2"/>
          <w:sz w:val="30"/>
          <w:szCs w:val="30"/>
          <w:highlight w:val="none"/>
          <w:lang w:val="en-US" w:bidi="ar-SA"/>
        </w:rPr>
        <w:t>七、其他</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（一）</w:t>
      </w:r>
      <w:r>
        <w:rPr>
          <w:rFonts w:ascii="Times New Roman" w:hAnsi="Times New Roman" w:cs="Times New Roman"/>
          <w:kern w:val="2"/>
          <w:sz w:val="30"/>
          <w:szCs w:val="30"/>
          <w:highlight w:val="none"/>
          <w:lang w:val="en-US" w:bidi="ar-SA"/>
        </w:rPr>
        <w:t>本次参与联盟地区集团采购的省医疗机构确认待分配量工作，原则上</w:t>
      </w:r>
      <w:r>
        <w:rPr>
          <w:rFonts w:hint="eastAsia" w:ascii="Times New Roman" w:hAnsi="Times New Roman" w:cs="Times New Roman"/>
          <w:kern w:val="2"/>
          <w:sz w:val="30"/>
          <w:szCs w:val="30"/>
          <w:highlight w:val="none"/>
          <w:lang w:val="en-US" w:eastAsia="zh-CN" w:bidi="ar-SA"/>
        </w:rPr>
        <w:t>于中选结果公布后15日内</w:t>
      </w:r>
      <w:r>
        <w:rPr>
          <w:rFonts w:ascii="Times New Roman" w:hAnsi="Times New Roman" w:cs="Times New Roman"/>
          <w:kern w:val="2"/>
          <w:sz w:val="30"/>
          <w:szCs w:val="30"/>
          <w:highlight w:val="none"/>
          <w:lang w:val="en-US" w:bidi="ar-SA"/>
        </w:rPr>
        <w:t>上传广东省平台。</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bidi="ar-SA"/>
        </w:rPr>
        <w:t>（二）属于本次药品集团带量采购</w:t>
      </w:r>
      <w:r>
        <w:rPr>
          <w:rFonts w:hint="eastAsia" w:ascii="Times New Roman" w:hAnsi="Times New Roman" w:cs="Times New Roman"/>
          <w:kern w:val="2"/>
          <w:sz w:val="30"/>
          <w:szCs w:val="30"/>
          <w:highlight w:val="none"/>
          <w:lang w:val="en-US" w:eastAsia="zh-CN" w:bidi="ar-SA"/>
        </w:rPr>
        <w:t>范围但</w:t>
      </w:r>
      <w:r>
        <w:rPr>
          <w:rFonts w:hint="eastAsia" w:ascii="Times New Roman" w:hAnsi="Times New Roman" w:cs="Times New Roman"/>
          <w:kern w:val="2"/>
          <w:sz w:val="30"/>
          <w:szCs w:val="30"/>
          <w:highlight w:val="none"/>
          <w:lang w:val="en-US" w:bidi="ar-SA"/>
        </w:rPr>
        <w:t>未报价</w:t>
      </w:r>
      <w:r>
        <w:rPr>
          <w:rFonts w:hint="eastAsia" w:ascii="Times New Roman" w:hAnsi="Times New Roman" w:cs="Times New Roman"/>
          <w:kern w:val="2"/>
          <w:sz w:val="30"/>
          <w:szCs w:val="30"/>
          <w:highlight w:val="none"/>
          <w:lang w:val="en-US" w:eastAsia="zh-CN" w:bidi="ar-SA"/>
        </w:rPr>
        <w:t>的产品</w:t>
      </w:r>
      <w:r>
        <w:rPr>
          <w:rFonts w:hint="eastAsia" w:ascii="Times New Roman" w:hAnsi="Times New Roman" w:cs="Times New Roman"/>
          <w:kern w:val="2"/>
          <w:sz w:val="30"/>
          <w:szCs w:val="30"/>
          <w:highlight w:val="none"/>
          <w:lang w:val="en-US" w:bidi="ar-SA"/>
        </w:rPr>
        <w:t xml:space="preserve">，广东省的医疗机构按《广东省医疗保障局关于做好药品和医用耗材采购工作的指导意见》（粤医保规〔2020〕2 号）要求进行自主采购。联盟省（区）则按各省（区）的备案或监控产品等规定执行。 </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eastAsia="zh-CN" w:bidi="ar-SA"/>
        </w:rPr>
        <w:t>（三）</w:t>
      </w:r>
      <w:r>
        <w:rPr>
          <w:rFonts w:hint="eastAsia" w:ascii="Times New Roman" w:hAnsi="Times New Roman" w:cs="Times New Roman"/>
          <w:kern w:val="2"/>
          <w:sz w:val="30"/>
          <w:szCs w:val="30"/>
          <w:highlight w:val="none"/>
          <w:lang w:val="en-US" w:bidi="ar-SA"/>
        </w:rPr>
        <w:t>报名参加本次联盟地区集团带量采购的未中选产品</w:t>
      </w:r>
      <w:r>
        <w:rPr>
          <w:rFonts w:hint="eastAsia" w:ascii="Times New Roman" w:hAnsi="Times New Roman" w:cs="Times New Roman"/>
          <w:kern w:val="2"/>
          <w:sz w:val="30"/>
          <w:szCs w:val="30"/>
          <w:highlight w:val="none"/>
          <w:lang w:val="en-US" w:eastAsia="zh-CN" w:bidi="ar-SA"/>
        </w:rPr>
        <w:t>（</w:t>
      </w:r>
      <w:r>
        <w:rPr>
          <w:rFonts w:hint="eastAsia" w:ascii="Times New Roman" w:hAnsi="Times New Roman" w:cs="Times New Roman"/>
          <w:kern w:val="2"/>
          <w:sz w:val="30"/>
          <w:szCs w:val="30"/>
          <w:highlight w:val="none"/>
          <w:lang w:val="en-US" w:bidi="ar-SA"/>
        </w:rPr>
        <w:t>指已报价未中选的产品</w:t>
      </w:r>
      <w:r>
        <w:rPr>
          <w:rFonts w:hint="eastAsia" w:ascii="Times New Roman" w:hAnsi="Times New Roman" w:cs="Times New Roman"/>
          <w:kern w:val="2"/>
          <w:sz w:val="30"/>
          <w:szCs w:val="30"/>
          <w:highlight w:val="none"/>
          <w:lang w:val="en-US" w:eastAsia="zh-CN" w:bidi="ar-SA"/>
        </w:rPr>
        <w:t>）</w:t>
      </w:r>
      <w:r>
        <w:rPr>
          <w:rFonts w:hint="eastAsia" w:ascii="Times New Roman" w:hAnsi="Times New Roman" w:cs="Times New Roman"/>
          <w:kern w:val="2"/>
          <w:sz w:val="30"/>
          <w:szCs w:val="30"/>
          <w:highlight w:val="none"/>
          <w:lang w:val="en-US" w:bidi="ar-SA"/>
        </w:rPr>
        <w:t>可挂网交易，其挂网采购按照《广东省第三方药品电子交易平台关于实施药品挂网采购的公告》要求执行，联盟省（区）则按各省（区）挂网规定执行。</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hint="eastAsia" w:ascii="Times New Roman" w:hAnsi="Times New Roman" w:cs="Times New Roman"/>
          <w:kern w:val="2"/>
          <w:sz w:val="30"/>
          <w:szCs w:val="30"/>
          <w:highlight w:val="none"/>
          <w:lang w:val="en-US" w:eastAsia="zh-CN" w:bidi="ar-SA"/>
        </w:rPr>
        <w:t>（四）</w:t>
      </w:r>
      <w:r>
        <w:rPr>
          <w:rFonts w:hint="eastAsia" w:ascii="Times New Roman" w:hAnsi="Times New Roman" w:cs="Times New Roman"/>
          <w:kern w:val="2"/>
          <w:sz w:val="30"/>
          <w:szCs w:val="30"/>
          <w:highlight w:val="none"/>
          <w:lang w:val="en-US" w:bidi="ar-SA"/>
        </w:rPr>
        <w:t>企业须如实申报全国最低价格，若未如实填报价格的，一经查实，中选资格无效，医疗机构可重新采购其它中选产品。</w:t>
      </w:r>
    </w:p>
    <w:p>
      <w:pPr>
        <w:autoSpaceDE/>
        <w:autoSpaceDN/>
        <w:spacing w:line="60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w:t>
      </w:r>
      <w:r>
        <w:rPr>
          <w:rFonts w:hint="eastAsia" w:ascii="Times New Roman" w:hAnsi="Times New Roman" w:cs="Times New Roman"/>
          <w:kern w:val="2"/>
          <w:sz w:val="30"/>
          <w:szCs w:val="30"/>
          <w:highlight w:val="none"/>
          <w:lang w:val="en-US" w:eastAsia="zh-CN" w:bidi="ar-SA"/>
        </w:rPr>
        <w:t>五</w:t>
      </w:r>
      <w:r>
        <w:rPr>
          <w:rFonts w:ascii="Times New Roman" w:hAnsi="Times New Roman" w:cs="Times New Roman"/>
          <w:kern w:val="2"/>
          <w:sz w:val="30"/>
          <w:szCs w:val="30"/>
          <w:highlight w:val="none"/>
          <w:lang w:val="en-US" w:bidi="ar-SA"/>
        </w:rPr>
        <w:t>）其他事项</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1.中选</w:t>
      </w:r>
      <w:r>
        <w:rPr>
          <w:rFonts w:hint="eastAsia" w:ascii="Times New Roman" w:hAnsi="Times New Roman" w:cs="Times New Roman"/>
          <w:kern w:val="2"/>
          <w:sz w:val="30"/>
          <w:szCs w:val="30"/>
          <w:highlight w:val="none"/>
          <w:lang w:val="en-US" w:eastAsia="zh-CN" w:bidi="ar-SA"/>
        </w:rPr>
        <w:t>药品</w:t>
      </w:r>
      <w:r>
        <w:rPr>
          <w:rFonts w:ascii="Times New Roman" w:hAnsi="Times New Roman" w:cs="Times New Roman"/>
          <w:kern w:val="2"/>
          <w:sz w:val="30"/>
          <w:szCs w:val="30"/>
          <w:highlight w:val="none"/>
          <w:lang w:val="en-US" w:bidi="ar-SA"/>
        </w:rPr>
        <w:t>出现被药品监督管理部门暂停生产、销售、使用、进口等情况，取消中选资格。</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2.中选企业出现中选</w:t>
      </w:r>
      <w:r>
        <w:rPr>
          <w:rFonts w:hint="eastAsia" w:ascii="Times New Roman" w:hAnsi="Times New Roman" w:cs="Times New Roman"/>
          <w:kern w:val="2"/>
          <w:sz w:val="30"/>
          <w:szCs w:val="30"/>
          <w:highlight w:val="none"/>
          <w:lang w:val="en-US" w:eastAsia="zh-CN" w:bidi="ar-SA"/>
        </w:rPr>
        <w:t>药品</w:t>
      </w:r>
      <w:r>
        <w:rPr>
          <w:rFonts w:ascii="Times New Roman" w:hAnsi="Times New Roman" w:cs="Times New Roman"/>
          <w:kern w:val="2"/>
          <w:sz w:val="30"/>
          <w:szCs w:val="30"/>
          <w:highlight w:val="none"/>
          <w:lang w:val="en-US" w:bidi="ar-SA"/>
        </w:rPr>
        <w:t>无法供应或取消中选资格等情况， 致使协议无法继续履行时，由医疗机构在中选产品中自主选择替补供应企业，由替补企业按替补企业中选价进行供应，因保障供应产生的额外支出由无法履行协议的企业承担。</w:t>
      </w:r>
    </w:p>
    <w:p>
      <w:pPr>
        <w:pStyle w:val="2"/>
        <w:rPr>
          <w:rFonts w:hint="default" w:eastAsia="方正仿宋简体"/>
          <w:highlight w:val="none"/>
          <w:lang w:val="en-US" w:eastAsia="zh-CN"/>
        </w:rPr>
      </w:pPr>
      <w:r>
        <w:rPr>
          <w:rFonts w:hint="eastAsia" w:ascii="Times New Roman" w:hAnsi="Times New Roman" w:cs="Times New Roman"/>
          <w:kern w:val="2"/>
          <w:sz w:val="30"/>
          <w:szCs w:val="30"/>
          <w:highlight w:val="none"/>
          <w:lang w:val="en-US" w:eastAsia="zh-CN" w:bidi="ar-SA"/>
        </w:rPr>
        <w:t xml:space="preserve">     </w:t>
      </w:r>
      <w:r>
        <w:rPr>
          <w:rFonts w:hint="default" w:ascii="Times New Roman" w:hAnsi="Times New Roman" w:eastAsia="仿宋" w:cs="Times New Roman"/>
          <w:color w:val="auto"/>
          <w:kern w:val="2"/>
          <w:sz w:val="30"/>
          <w:szCs w:val="30"/>
          <w:highlight w:val="none"/>
          <w:lang w:val="en-US" w:eastAsia="zh-CN" w:bidi="ar-SA"/>
        </w:rPr>
        <w:t xml:space="preserve"> </w:t>
      </w:r>
      <w:r>
        <w:rPr>
          <w:rFonts w:hint="eastAsia" w:ascii="Times New Roman" w:hAnsi="Times New Roman" w:eastAsia="仿宋" w:cs="Times New Roman"/>
          <w:color w:val="auto"/>
          <w:kern w:val="2"/>
          <w:sz w:val="30"/>
          <w:szCs w:val="30"/>
          <w:highlight w:val="none"/>
          <w:lang w:val="en-US" w:eastAsia="zh-CN" w:bidi="ar-SA"/>
        </w:rPr>
        <w:t xml:space="preserve">  </w:t>
      </w:r>
      <w:r>
        <w:rPr>
          <w:rFonts w:hint="default" w:ascii="Times New Roman" w:hAnsi="Times New Roman" w:eastAsia="仿宋" w:cs="Times New Roman"/>
          <w:color w:val="auto"/>
          <w:kern w:val="2"/>
          <w:sz w:val="30"/>
          <w:szCs w:val="30"/>
          <w:highlight w:val="none"/>
          <w:lang w:val="en-US" w:eastAsia="zh-CN" w:bidi="ar-SA"/>
        </w:rPr>
        <w:t>3.在采购周期内，若国家和省有新规定的，从其规定。</w:t>
      </w:r>
    </w:p>
    <w:p>
      <w:pPr>
        <w:autoSpaceDE/>
        <w:autoSpaceDN/>
        <w:spacing w:line="560" w:lineRule="exact"/>
        <w:ind w:firstLine="600" w:firstLineChars="200"/>
        <w:jc w:val="both"/>
        <w:rPr>
          <w:rFonts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t>（</w:t>
      </w:r>
      <w:r>
        <w:rPr>
          <w:rFonts w:hint="eastAsia" w:ascii="Times New Roman" w:hAnsi="Times New Roman" w:cs="Times New Roman"/>
          <w:kern w:val="2"/>
          <w:sz w:val="30"/>
          <w:szCs w:val="30"/>
          <w:highlight w:val="none"/>
          <w:lang w:val="en-US" w:eastAsia="zh-CN" w:bidi="ar-SA"/>
        </w:rPr>
        <w:t>六</w:t>
      </w:r>
      <w:r>
        <w:rPr>
          <w:rFonts w:ascii="Times New Roman" w:hAnsi="Times New Roman" w:cs="Times New Roman"/>
          <w:kern w:val="2"/>
          <w:sz w:val="30"/>
          <w:szCs w:val="30"/>
          <w:highlight w:val="none"/>
          <w:lang w:val="en-US" w:bidi="ar-SA"/>
        </w:rPr>
        <w:t>）本采购文件仅适用于本次药品集团带量采购所述项目的药品及相关服务，最终解释权归省药交中心。</w:t>
      </w:r>
    </w:p>
    <w:p>
      <w:pPr>
        <w:jc w:val="center"/>
        <w:rPr>
          <w:rFonts w:hint="eastAsia" w:ascii="Times New Roman" w:hAnsi="Times New Roman" w:cs="Times New Roman"/>
          <w:kern w:val="2"/>
          <w:sz w:val="30"/>
          <w:szCs w:val="30"/>
          <w:highlight w:val="none"/>
          <w:lang w:val="en-US" w:bidi="ar-SA"/>
        </w:rPr>
      </w:pPr>
      <w:r>
        <w:rPr>
          <w:rFonts w:ascii="Times New Roman" w:hAnsi="Times New Roman" w:cs="Times New Roman"/>
          <w:kern w:val="2"/>
          <w:sz w:val="30"/>
          <w:szCs w:val="30"/>
          <w:highlight w:val="none"/>
          <w:lang w:val="en-US" w:bidi="ar-SA"/>
        </w:rPr>
        <w:br w:type="page"/>
      </w:r>
      <w:r>
        <w:rPr>
          <w:rFonts w:hint="eastAsia" w:ascii="Times New Roman" w:hAnsi="Times New Roman" w:cs="Times New Roman"/>
          <w:kern w:val="2"/>
          <w:sz w:val="36"/>
          <w:szCs w:val="36"/>
          <w:highlight w:val="none"/>
          <w:lang w:val="en-US" w:bidi="ar-SA"/>
        </w:rPr>
        <w:t xml:space="preserve"> </w:t>
      </w:r>
      <w:bookmarkStart w:id="39" w:name="_Toc57277303"/>
      <w:bookmarkStart w:id="40" w:name="_Toc57277304"/>
      <w:bookmarkStart w:id="41" w:name="_Toc6023"/>
      <w:bookmarkStart w:id="42" w:name="_Toc17748598"/>
      <w:r>
        <w:rPr>
          <w:rFonts w:ascii="Times New Roman" w:hAnsi="Times New Roman" w:eastAsia="华文中宋" w:cs="Times New Roman"/>
          <w:b w:val="0"/>
          <w:color w:val="000000" w:themeColor="text1"/>
          <w:sz w:val="36"/>
          <w:szCs w:val="36"/>
          <w:highlight w:val="none"/>
          <w14:textFill>
            <w14:solidFill>
              <w14:schemeClr w14:val="tx1"/>
            </w14:solidFill>
          </w14:textFill>
        </w:rPr>
        <w:t>第三部分 附件</w:t>
      </w:r>
      <w:bookmarkEnd w:id="39"/>
    </w:p>
    <w:p>
      <w:pPr>
        <w:rPr>
          <w:rFonts w:hint="eastAsia"/>
          <w:sz w:val="32"/>
          <w:szCs w:val="32"/>
          <w:highlight w:val="none"/>
          <w:lang w:val="en-US"/>
        </w:rPr>
      </w:pPr>
      <w:r>
        <w:rPr>
          <w:rFonts w:hint="eastAsia"/>
          <w:sz w:val="32"/>
          <w:szCs w:val="32"/>
          <w:highlight w:val="none"/>
          <w:lang w:val="en-US"/>
        </w:rPr>
        <w:t>附件1</w:t>
      </w:r>
    </w:p>
    <w:p>
      <w:pPr>
        <w:rPr>
          <w:sz w:val="32"/>
          <w:szCs w:val="32"/>
          <w:highlight w:val="none"/>
          <w:lang w:val="en-US"/>
        </w:rPr>
      </w:pPr>
    </w:p>
    <w:p>
      <w:pPr>
        <w:jc w:val="center"/>
        <w:rPr>
          <w:rFonts w:ascii="华文中宋" w:hAnsi="华文中宋" w:eastAsia="华文中宋" w:cs="华文中宋"/>
          <w:sz w:val="44"/>
          <w:szCs w:val="44"/>
          <w:highlight w:val="none"/>
        </w:rPr>
      </w:pPr>
      <w:r>
        <w:rPr>
          <w:rFonts w:hint="eastAsia" w:ascii="华文中宋" w:hAnsi="华文中宋" w:eastAsia="华文中宋" w:cs="华文中宋"/>
          <w:sz w:val="44"/>
          <w:szCs w:val="44"/>
          <w:highlight w:val="none"/>
        </w:rPr>
        <w:t>医药企业价格和营销行为信用承诺</w:t>
      </w:r>
      <w:bookmarkEnd w:id="40"/>
      <w:r>
        <w:rPr>
          <w:rFonts w:hint="eastAsia" w:ascii="华文中宋" w:hAnsi="华文中宋" w:eastAsia="华文中宋" w:cs="华文中宋"/>
          <w:sz w:val="44"/>
          <w:szCs w:val="44"/>
          <w:highlight w:val="none"/>
        </w:rPr>
        <w:t>书</w:t>
      </w:r>
    </w:p>
    <w:p>
      <w:pPr>
        <w:spacing w:line="540" w:lineRule="exact"/>
        <w:rPr>
          <w:rFonts w:ascii="Times New Roman" w:hAnsi="Times New Roman" w:cs="Times New Roman"/>
          <w:sz w:val="32"/>
          <w:szCs w:val="32"/>
          <w:highlight w:val="none"/>
        </w:rPr>
      </w:pPr>
    </w:p>
    <w:p>
      <w:pPr>
        <w:spacing w:line="560" w:lineRule="exact"/>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广东省药品交易中心：</w:t>
      </w:r>
    </w:p>
    <w:p>
      <w:pPr>
        <w:spacing w:line="560" w:lineRule="exact"/>
        <w:ind w:firstLine="6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我方</w:t>
      </w:r>
      <w:r>
        <w:rPr>
          <w:rFonts w:ascii="Times New Roman" w:hAnsi="Times New Roman" w:eastAsia="仿宋_GB2312" w:cs="Times New Roman"/>
          <w:sz w:val="32"/>
          <w:szCs w:val="32"/>
          <w:highlight w:val="none"/>
          <w:u w:val="single"/>
        </w:rPr>
        <w:t xml:space="preserve">      </w:t>
      </w:r>
      <w:r>
        <w:rPr>
          <w:rFonts w:ascii="Times New Roman" w:hAnsi="Times New Roman" w:eastAsia="仿宋_GB2312" w:cs="Times New Roman"/>
          <w:sz w:val="32"/>
          <w:szCs w:val="32"/>
          <w:highlight w:val="none"/>
          <w:u w:val="single"/>
          <w:lang w:val="en-US"/>
        </w:rPr>
        <w:t xml:space="preserve">                    </w:t>
      </w:r>
      <w:r>
        <w:rPr>
          <w:rFonts w:ascii="Times New Roman" w:hAnsi="Times New Roman" w:eastAsia="仿宋_GB2312" w:cs="Times New Roman"/>
          <w:sz w:val="32"/>
          <w:szCs w:val="32"/>
          <w:highlight w:val="none"/>
          <w:lang w:val="en-US"/>
        </w:rPr>
        <w:t>（×××公司），在</w:t>
      </w:r>
      <w:r>
        <w:rPr>
          <w:rFonts w:ascii="Times New Roman" w:hAnsi="Times New Roman" w:eastAsia="仿宋_GB2312" w:cs="Times New Roman"/>
          <w:sz w:val="32"/>
          <w:szCs w:val="32"/>
          <w:highlight w:val="none"/>
        </w:rPr>
        <w:t>充分理解</w:t>
      </w:r>
      <w:r>
        <w:rPr>
          <w:rFonts w:hint="eastAsia" w:ascii="Times New Roman" w:hAnsi="Times New Roman" w:eastAsia="仿宋_GB2312" w:cs="Times New Roman"/>
          <w:sz w:val="32"/>
          <w:szCs w:val="32"/>
          <w:highlight w:val="none"/>
          <w:lang w:eastAsia="zh-CN"/>
        </w:rPr>
        <w:t>广东联盟清开灵等58个药品集团带量采购文件</w:t>
      </w:r>
      <w:r>
        <w:rPr>
          <w:rFonts w:ascii="Times New Roman" w:hAnsi="Times New Roman" w:eastAsia="仿宋_GB2312" w:cs="Times New Roman"/>
          <w:sz w:val="32"/>
          <w:szCs w:val="32"/>
          <w:highlight w:val="none"/>
        </w:rPr>
        <w:t>（编号：GDYJYPDL20210</w:t>
      </w:r>
      <w:r>
        <w:rPr>
          <w:rFonts w:hint="eastAsia" w:ascii="Times New Roman" w:hAnsi="Times New Roman" w:eastAsia="仿宋_GB2312" w:cs="Times New Roman"/>
          <w:sz w:val="32"/>
          <w:szCs w:val="32"/>
          <w:highlight w:val="none"/>
          <w:lang w:val="en-US"/>
        </w:rPr>
        <w:t>3</w:t>
      </w:r>
      <w:r>
        <w:rPr>
          <w:rFonts w:ascii="Times New Roman" w:hAnsi="Times New Roman" w:eastAsia="仿宋_GB2312" w:cs="Times New Roman"/>
          <w:sz w:val="32"/>
          <w:szCs w:val="32"/>
          <w:highlight w:val="none"/>
        </w:rPr>
        <w:t>）后，决定按照采购文件的规定参与申报。我方保证申报的价格及其他相关证明材料的真实性、合法性、有效性。</w:t>
      </w:r>
    </w:p>
    <w:p>
      <w:pPr>
        <w:spacing w:line="560" w:lineRule="exact"/>
        <w:ind w:firstLine="6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我方已充分考虑原材料价格等因素并承诺申报价不低于本企业该品种成本价。我方完全理解及遵守采购文件中的中选</w:t>
      </w:r>
      <w:r>
        <w:rPr>
          <w:rFonts w:ascii="Times New Roman" w:hAnsi="Times New Roman" w:eastAsia="仿宋_GB2312" w:cs="Times New Roman"/>
          <w:sz w:val="32"/>
          <w:szCs w:val="32"/>
          <w:highlight w:val="none"/>
          <w:lang w:val="en-US"/>
        </w:rPr>
        <w:t>药品</w:t>
      </w:r>
      <w:r>
        <w:rPr>
          <w:rFonts w:ascii="Times New Roman" w:hAnsi="Times New Roman" w:eastAsia="仿宋_GB2312" w:cs="Times New Roman"/>
          <w:sz w:val="32"/>
          <w:szCs w:val="32"/>
          <w:highlight w:val="none"/>
        </w:rPr>
        <w:t>确认规则，理解贵方不一定要接受最低申报价的申报，所有分组不一定有中选结果。</w:t>
      </w:r>
    </w:p>
    <w:p>
      <w:pPr>
        <w:spacing w:line="560" w:lineRule="exact"/>
        <w:ind w:firstLine="6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我方就参与本次</w:t>
      </w:r>
      <w:r>
        <w:rPr>
          <w:rFonts w:ascii="Times New Roman" w:hAnsi="Times New Roman" w:eastAsia="仿宋_GB2312" w:cs="Times New Roman"/>
          <w:sz w:val="32"/>
          <w:szCs w:val="32"/>
          <w:highlight w:val="none"/>
          <w:lang w:val="en-US"/>
        </w:rPr>
        <w:t>联盟地区药品</w:t>
      </w:r>
      <w:r>
        <w:rPr>
          <w:rFonts w:ascii="Times New Roman" w:hAnsi="Times New Roman" w:eastAsia="仿宋_GB2312" w:cs="Times New Roman"/>
          <w:sz w:val="32"/>
          <w:szCs w:val="32"/>
          <w:highlight w:val="none"/>
        </w:rPr>
        <w:t>集团带量采购，郑重做出以下承诺：</w:t>
      </w:r>
    </w:p>
    <w:p>
      <w:pPr>
        <w:spacing w:line="560" w:lineRule="exact"/>
        <w:ind w:firstLine="600"/>
        <w:jc w:val="both"/>
        <w:rPr>
          <w:rFonts w:ascii="黑体" w:hAnsi="黑体" w:eastAsia="黑体" w:cs="黑体"/>
          <w:sz w:val="32"/>
          <w:szCs w:val="32"/>
          <w:highlight w:val="none"/>
        </w:rPr>
      </w:pPr>
      <w:r>
        <w:rPr>
          <w:rFonts w:hint="eastAsia" w:ascii="黑体" w:hAnsi="黑体" w:eastAsia="黑体" w:cs="黑体"/>
          <w:sz w:val="32"/>
          <w:szCs w:val="32"/>
          <w:highlight w:val="none"/>
        </w:rPr>
        <w:t>一、严守法纪、恪守诚信</w:t>
      </w:r>
    </w:p>
    <w:p>
      <w:pPr>
        <w:spacing w:line="560" w:lineRule="exact"/>
        <w:ind w:firstLine="6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（一）我方承诺，自觉遵守《民法典》《合同法》《价格法》《药品管理法》《反不正当竞争法》《反垄断法》等法律法规，医药价格和招标采购的政策，以及</w:t>
      </w:r>
      <w:r>
        <w:rPr>
          <w:rFonts w:ascii="Times New Roman" w:hAnsi="Times New Roman" w:eastAsia="仿宋_GB2312" w:cs="Times New Roman"/>
          <w:sz w:val="32"/>
          <w:szCs w:val="32"/>
          <w:highlight w:val="none"/>
          <w:lang w:val="en-US"/>
        </w:rPr>
        <w:t>联盟地区药品集团带量采购</w:t>
      </w:r>
      <w:r>
        <w:rPr>
          <w:rFonts w:ascii="Times New Roman" w:hAnsi="Times New Roman" w:eastAsia="仿宋_GB2312" w:cs="Times New Roman"/>
          <w:sz w:val="32"/>
          <w:szCs w:val="32"/>
          <w:highlight w:val="none"/>
        </w:rPr>
        <w:t>之规定，诚信经营，共同营造公平的交易环境。</w:t>
      </w:r>
    </w:p>
    <w:p>
      <w:pPr>
        <w:spacing w:line="560" w:lineRule="exact"/>
        <w:ind w:firstLine="6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（二）我方承诺，不向采购我方药品的医疗机构管理人员、采购人员、医师、药师等有关人员给予回扣或其他不正当利益。</w:t>
      </w:r>
    </w:p>
    <w:p>
      <w:pPr>
        <w:spacing w:line="560" w:lineRule="exact"/>
        <w:ind w:firstLine="6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（三）我方承诺，不实施虚开虚受增值税发票及其他形式虚构服务套现洗钱行为。</w:t>
      </w:r>
    </w:p>
    <w:p>
      <w:pPr>
        <w:spacing w:line="560" w:lineRule="exact"/>
        <w:ind w:firstLine="6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（四）我方承诺，不利用</w:t>
      </w:r>
      <w:r>
        <w:rPr>
          <w:rFonts w:ascii="Times New Roman" w:hAnsi="Times New Roman" w:eastAsia="仿宋_GB2312" w:cs="Times New Roman"/>
          <w:sz w:val="32"/>
          <w:szCs w:val="32"/>
          <w:highlight w:val="none"/>
          <w:lang w:val="en-US"/>
        </w:rPr>
        <w:t>药品</w:t>
      </w:r>
      <w:r>
        <w:rPr>
          <w:rFonts w:ascii="Times New Roman" w:hAnsi="Times New Roman" w:eastAsia="仿宋_GB2312" w:cs="Times New Roman"/>
          <w:sz w:val="32"/>
          <w:szCs w:val="32"/>
          <w:highlight w:val="none"/>
        </w:rPr>
        <w:t>垄断地位或市场支配地位，操纵</w:t>
      </w:r>
      <w:r>
        <w:rPr>
          <w:rFonts w:ascii="Times New Roman" w:hAnsi="Times New Roman" w:eastAsia="仿宋_GB2312" w:cs="Times New Roman"/>
          <w:sz w:val="32"/>
          <w:szCs w:val="32"/>
          <w:highlight w:val="none"/>
          <w:lang w:val="en-US"/>
        </w:rPr>
        <w:t>药品</w:t>
      </w:r>
      <w:r>
        <w:rPr>
          <w:rFonts w:ascii="Times New Roman" w:hAnsi="Times New Roman" w:eastAsia="仿宋_GB2312" w:cs="Times New Roman"/>
          <w:sz w:val="32"/>
          <w:szCs w:val="32"/>
          <w:highlight w:val="none"/>
        </w:rPr>
        <w:t>价格和供应牟取暴利。不针对不同群体、不同渠道制定实施明显不合理的差异化定价。</w:t>
      </w:r>
    </w:p>
    <w:p>
      <w:pPr>
        <w:spacing w:line="560" w:lineRule="exact"/>
        <w:ind w:firstLine="600"/>
        <w:jc w:val="both"/>
        <w:rPr>
          <w:rFonts w:ascii="黑体" w:hAnsi="黑体" w:eastAsia="黑体" w:cs="黑体"/>
          <w:sz w:val="32"/>
          <w:szCs w:val="32"/>
          <w:highlight w:val="none"/>
        </w:rPr>
      </w:pPr>
      <w:r>
        <w:rPr>
          <w:rFonts w:ascii="黑体" w:hAnsi="黑体" w:eastAsia="黑体" w:cs="黑体"/>
          <w:sz w:val="32"/>
          <w:szCs w:val="32"/>
          <w:highlight w:val="none"/>
        </w:rPr>
        <w:t>二、履行合同、配合监管</w:t>
      </w:r>
    </w:p>
    <w:p>
      <w:pPr>
        <w:spacing w:line="560" w:lineRule="exact"/>
        <w:ind w:firstLine="6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（一）我方承诺，具有履行协议必须具备的</w:t>
      </w:r>
      <w:r>
        <w:rPr>
          <w:rFonts w:ascii="Times New Roman" w:hAnsi="Times New Roman" w:eastAsia="仿宋_GB2312" w:cs="Times New Roman"/>
          <w:sz w:val="32"/>
          <w:szCs w:val="32"/>
          <w:highlight w:val="none"/>
          <w:lang w:val="en-US"/>
        </w:rPr>
        <w:t>药品</w:t>
      </w:r>
      <w:r>
        <w:rPr>
          <w:rFonts w:ascii="Times New Roman" w:hAnsi="Times New Roman" w:eastAsia="仿宋_GB2312" w:cs="Times New Roman"/>
          <w:sz w:val="32"/>
          <w:szCs w:val="32"/>
          <w:highlight w:val="none"/>
        </w:rPr>
        <w:t>供应能力，除我方不可抗的因素造成供应困难外，保证在采购周期按照中选价格及时足量供应</w:t>
      </w:r>
      <w:r>
        <w:rPr>
          <w:rFonts w:ascii="Times New Roman" w:hAnsi="Times New Roman" w:eastAsia="仿宋_GB2312" w:cs="Times New Roman"/>
          <w:sz w:val="32"/>
          <w:szCs w:val="32"/>
          <w:highlight w:val="none"/>
          <w:lang w:val="en-US"/>
        </w:rPr>
        <w:t>药品</w:t>
      </w:r>
      <w:r>
        <w:rPr>
          <w:rFonts w:ascii="Times New Roman" w:hAnsi="Times New Roman" w:eastAsia="仿宋_GB2312" w:cs="Times New Roman"/>
          <w:sz w:val="32"/>
          <w:szCs w:val="32"/>
          <w:highlight w:val="none"/>
        </w:rPr>
        <w:t>，满足临床需求。</w:t>
      </w:r>
    </w:p>
    <w:p>
      <w:pPr>
        <w:spacing w:line="560" w:lineRule="exact"/>
        <w:ind w:firstLine="6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w:t>
      </w:r>
      <w:r>
        <w:rPr>
          <w:rFonts w:ascii="Times New Roman" w:hAnsi="Times New Roman" w:eastAsia="仿宋_GB2312" w:cs="Times New Roman"/>
          <w:sz w:val="32"/>
          <w:szCs w:val="32"/>
          <w:highlight w:val="none"/>
          <w:lang w:val="en-US"/>
        </w:rPr>
        <w:t>药品</w:t>
      </w:r>
      <w:r>
        <w:rPr>
          <w:rFonts w:ascii="Times New Roman" w:hAnsi="Times New Roman" w:eastAsia="仿宋_GB2312" w:cs="Times New Roman"/>
          <w:sz w:val="32"/>
          <w:szCs w:val="32"/>
          <w:highlight w:val="none"/>
        </w:rPr>
        <w:t>价格的，我方承诺在上述情形终止后，及时纠正价格。</w:t>
      </w:r>
    </w:p>
    <w:p>
      <w:pPr>
        <w:autoSpaceDE/>
        <w:autoSpaceDN/>
        <w:spacing w:line="560" w:lineRule="exact"/>
        <w:ind w:firstLine="6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（三）我方承诺，及时、全面、完整、规范申报失信信息，不漏报，不瞒报，不推诿。</w:t>
      </w:r>
    </w:p>
    <w:p>
      <w:pPr>
        <w:spacing w:line="560" w:lineRule="exact"/>
        <w:ind w:firstLine="600"/>
        <w:jc w:val="both"/>
        <w:rPr>
          <w:rFonts w:ascii="黑体" w:hAnsi="黑体" w:eastAsia="黑体" w:cs="黑体"/>
          <w:sz w:val="32"/>
          <w:szCs w:val="32"/>
          <w:highlight w:val="none"/>
        </w:rPr>
      </w:pPr>
      <w:r>
        <w:rPr>
          <w:rFonts w:ascii="黑体" w:hAnsi="黑体" w:eastAsia="黑体" w:cs="黑体"/>
          <w:sz w:val="32"/>
          <w:szCs w:val="32"/>
          <w:highlight w:val="none"/>
        </w:rPr>
        <w:t>三、违约担责、接受处置</w:t>
      </w:r>
    </w:p>
    <w:p>
      <w:pPr>
        <w:autoSpaceDE/>
        <w:autoSpaceDN/>
        <w:spacing w:line="560" w:lineRule="exact"/>
        <w:ind w:firstLine="6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（一）我方承诺，如我方药品购销中存在违背已承诺事项的，我方愿意接受集中采购机构作出的信用评级结果以及结合信用等级实施的处置措施。</w:t>
      </w:r>
    </w:p>
    <w:p>
      <w:pPr>
        <w:autoSpaceDE/>
        <w:autoSpaceDN/>
        <w:spacing w:line="560" w:lineRule="exact"/>
        <w:ind w:firstLine="6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（二）我方承诺，严格管理员工（含雇佣关系，以及劳务派遣、购买服务、委托代理等关系），在法律法规允许的范围内从事经营活动。如果我方员工在我方</w:t>
      </w:r>
      <w:r>
        <w:rPr>
          <w:rFonts w:ascii="Times New Roman" w:hAnsi="Times New Roman" w:eastAsia="仿宋_GB2312" w:cs="Times New Roman"/>
          <w:sz w:val="32"/>
          <w:szCs w:val="32"/>
          <w:highlight w:val="none"/>
          <w:lang w:val="en-US"/>
        </w:rPr>
        <w:t>药品</w:t>
      </w:r>
      <w:r>
        <w:rPr>
          <w:rFonts w:ascii="Times New Roman" w:hAnsi="Times New Roman" w:eastAsia="仿宋_GB2312" w:cs="Times New Roman"/>
          <w:sz w:val="32"/>
          <w:szCs w:val="32"/>
          <w:highlight w:val="none"/>
        </w:rPr>
        <w:t>购销中因给予回扣或其他不正当利益的行为，受到司法机关、行政执法机关惩处，我方承诺承担失信违约责任，接受集中采购机构作出的信用评级结果以及结合信用等级实施的处置措施。</w:t>
      </w:r>
    </w:p>
    <w:p>
      <w:pPr>
        <w:autoSpaceDE/>
        <w:autoSpaceDN/>
        <w:spacing w:line="560" w:lineRule="exact"/>
        <w:ind w:firstLine="60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sz w:val="32"/>
          <w:szCs w:val="32"/>
          <w:highlight w:val="none"/>
        </w:rPr>
        <w:t>（三）我方承诺，严格约束委托代理人（具有委托代理关系的法人和自然人）在法律允许的范围内从事经营活动。如果受我方委托代理人，因涉及我方</w:t>
      </w:r>
      <w:r>
        <w:rPr>
          <w:rFonts w:ascii="Times New Roman" w:hAnsi="Times New Roman" w:eastAsia="仿宋_GB2312" w:cs="Times New Roman"/>
          <w:sz w:val="32"/>
          <w:szCs w:val="32"/>
          <w:highlight w:val="none"/>
          <w:lang w:val="en-US"/>
        </w:rPr>
        <w:t>药品</w:t>
      </w:r>
      <w:r>
        <w:rPr>
          <w:rFonts w:ascii="Times New Roman" w:hAnsi="Times New Roman" w:eastAsia="仿宋_GB2312" w:cs="Times New Roman"/>
          <w:sz w:val="32"/>
          <w:szCs w:val="32"/>
          <w:highlight w:val="none"/>
        </w:rPr>
        <w:t>的回扣等医药商业贿赂行为，受到司法机</w:t>
      </w:r>
      <w:r>
        <w:rPr>
          <w:rFonts w:ascii="Times New Roman" w:hAnsi="Times New Roman" w:eastAsia="仿宋_GB2312" w:cs="Times New Roman"/>
          <w:color w:val="000000" w:themeColor="text1"/>
          <w:sz w:val="32"/>
          <w:szCs w:val="32"/>
          <w:highlight w:val="none"/>
          <w14:textFill>
            <w14:solidFill>
              <w14:schemeClr w14:val="tx1"/>
            </w14:solidFill>
          </w14:textFill>
        </w:rPr>
        <w:t>关、行政执法机关惩处，我方承诺承担失信违约责任，接受集中采购机构作出的信用评级结果以及结合信用等级实施的处置措施。</w:t>
      </w:r>
    </w:p>
    <w:p>
      <w:pPr>
        <w:spacing w:line="560" w:lineRule="exact"/>
        <w:ind w:firstLine="60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（四）我方承诺，主动维护良好信用，必要时采取切实措施修复信用。</w:t>
      </w:r>
    </w:p>
    <w:p>
      <w:pPr>
        <w:spacing w:line="560" w:lineRule="exact"/>
        <w:ind w:firstLine="60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（五）我方承诺，药品不侵犯其他第三方合法权利，在申报、采购周期内， 如相关司法文书确定我方或我方所申报之药品侵犯第三方权利，或者司法文书对我方药品采取包括不限于禁止销售等保全措施的，我方同意在获悉上述情形后1日内主动暂停相关药品在采购平台的挂网交易，或由采购平台直接暂停挂网交易。相应产生的法律责任（包括不限于侵犯第三方权利的赔偿、无法履行采购协议的责任等）和损失均由我方自行承担。</w:t>
      </w:r>
    </w:p>
    <w:p>
      <w:pPr>
        <w:spacing w:line="560" w:lineRule="exact"/>
        <w:ind w:firstLine="600"/>
        <w:jc w:val="both"/>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我方承诺，在申报、采购周期内均持有药品的完整代理资格，如代理资格终止，同意贵中心取消我方作为本次采购申报企业或中选企业的资格并取消以我方名义在平台挂网交易中选药品之资格。相应产生的法律责任（包括不限于无法履行采购协议的责任等）和损失均由我方自行承担。</w:t>
      </w:r>
    </w:p>
    <w:p>
      <w:pPr>
        <w:autoSpaceDE/>
        <w:autoSpaceDN/>
        <w:spacing w:line="560" w:lineRule="exact"/>
        <w:ind w:firstLine="6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w:t>
      </w:r>
    </w:p>
    <w:p>
      <w:pPr>
        <w:pStyle w:val="2"/>
        <w:spacing w:line="560" w:lineRule="exact"/>
        <w:rPr>
          <w:rFonts w:hint="default" w:ascii="Times New Roman" w:hAnsi="Times New Roman" w:eastAsia="仿宋_GB2312"/>
          <w:color w:val="000000" w:themeColor="text1"/>
          <w:sz w:val="32"/>
          <w:szCs w:val="32"/>
          <w:highlight w:val="none"/>
          <w14:textFill>
            <w14:solidFill>
              <w14:schemeClr w14:val="tx1"/>
            </w14:solidFill>
          </w14:textFill>
        </w:rPr>
      </w:pPr>
    </w:p>
    <w:p>
      <w:pPr>
        <w:pStyle w:val="2"/>
        <w:spacing w:line="560" w:lineRule="exact"/>
        <w:rPr>
          <w:rFonts w:hint="default" w:ascii="Times New Roman" w:hAnsi="Times New Roman" w:eastAsia="仿宋_GB2312"/>
          <w:color w:val="000000" w:themeColor="text1"/>
          <w:sz w:val="32"/>
          <w:szCs w:val="32"/>
          <w:highlight w:val="none"/>
          <w14:textFill>
            <w14:solidFill>
              <w14:schemeClr w14:val="tx1"/>
            </w14:solidFill>
          </w14:textFill>
        </w:rPr>
      </w:pPr>
    </w:p>
    <w:p>
      <w:pPr>
        <w:autoSpaceDE/>
        <w:autoSpaceDN/>
        <w:spacing w:line="560" w:lineRule="exact"/>
        <w:ind w:firstLine="4480" w:firstLineChars="14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承诺企业（盖章）：</w:t>
      </w:r>
    </w:p>
    <w:p>
      <w:pPr>
        <w:autoSpaceDE/>
        <w:autoSpaceDN/>
        <w:spacing w:line="560" w:lineRule="exact"/>
        <w:ind w:firstLine="6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lang w:val="en-US"/>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14:textFill>
            <w14:solidFill>
              <w14:schemeClr w14:val="tx1"/>
            </w14:solidFill>
          </w14:textFill>
        </w:rPr>
        <w:t>法定代表人（签字）：</w:t>
      </w:r>
    </w:p>
    <w:p>
      <w:pPr>
        <w:autoSpaceDE/>
        <w:autoSpaceDN/>
        <w:spacing w:line="560" w:lineRule="exact"/>
        <w:ind w:firstLine="4800" w:firstLineChars="15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202  年  </w:t>
      </w:r>
      <w:r>
        <w:rPr>
          <w:rFonts w:ascii="Times New Roman" w:hAnsi="Times New Roman" w:eastAsia="仿宋_GB2312" w:cs="Times New Roman"/>
          <w:color w:val="000000" w:themeColor="text1"/>
          <w:sz w:val="32"/>
          <w:szCs w:val="32"/>
          <w:highlight w:val="none"/>
          <w:lang w:val="en-US"/>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月  </w:t>
      </w:r>
      <w:r>
        <w:rPr>
          <w:rFonts w:ascii="Times New Roman" w:hAnsi="Times New Roman" w:eastAsia="仿宋_GB2312" w:cs="Times New Roman"/>
          <w:color w:val="000000" w:themeColor="text1"/>
          <w:sz w:val="32"/>
          <w:szCs w:val="32"/>
          <w:highlight w:val="none"/>
          <w:lang w:val="en-US"/>
          <w14:textFill>
            <w14:solidFill>
              <w14:schemeClr w14:val="tx1"/>
            </w14:solidFill>
          </w14:textFill>
        </w:rPr>
        <w:t xml:space="preserve"> </w:t>
      </w:r>
      <w:r>
        <w:rPr>
          <w:rFonts w:ascii="Times New Roman" w:hAnsi="Times New Roman" w:eastAsia="仿宋_GB2312" w:cs="Times New Roman"/>
          <w:color w:val="000000" w:themeColor="text1"/>
          <w:sz w:val="32"/>
          <w:szCs w:val="32"/>
          <w:highlight w:val="none"/>
          <w14:textFill>
            <w14:solidFill>
              <w14:schemeClr w14:val="tx1"/>
            </w14:solidFill>
          </w14:textFill>
        </w:rPr>
        <w:t>日</w:t>
      </w:r>
    </w:p>
    <w:p>
      <w:pPr>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br w:type="page"/>
      </w:r>
    </w:p>
    <w:p>
      <w:pPr>
        <w:rPr>
          <w:rFonts w:hint="eastAsia" w:ascii="Times New Roman" w:hAnsi="Times New Roman" w:cs="Times New Roman"/>
          <w:color w:val="000000" w:themeColor="text1"/>
          <w:sz w:val="32"/>
          <w:szCs w:val="32"/>
          <w:highlight w:val="none"/>
          <w:lang w:val="en-US"/>
          <w14:textFill>
            <w14:solidFill>
              <w14:schemeClr w14:val="tx1"/>
            </w14:solidFill>
          </w14:textFill>
        </w:rPr>
      </w:pPr>
      <w:r>
        <w:rPr>
          <w:rFonts w:hint="eastAsia" w:ascii="Times New Roman" w:hAnsi="Times New Roman" w:cs="Times New Roman"/>
          <w:color w:val="000000" w:themeColor="text1"/>
          <w:sz w:val="32"/>
          <w:szCs w:val="32"/>
          <w:highlight w:val="none"/>
          <w:lang w:val="en-US"/>
          <w14:textFill>
            <w14:solidFill>
              <w14:schemeClr w14:val="tx1"/>
            </w14:solidFill>
          </w14:textFill>
        </w:rPr>
        <w:t>附件2</w:t>
      </w:r>
    </w:p>
    <w:p>
      <w:pPr>
        <w:rPr>
          <w:rFonts w:ascii="Times New Roman" w:hAnsi="Times New Roman" w:cs="Times New Roman"/>
          <w:color w:val="000000" w:themeColor="text1"/>
          <w:sz w:val="32"/>
          <w:szCs w:val="32"/>
          <w:highlight w:val="none"/>
          <w:lang w:val="en-US"/>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合同编号：</w:t>
      </w:r>
    </w:p>
    <w:p>
      <w:pPr>
        <w:jc w:val="center"/>
        <w:rPr>
          <w:rFonts w:ascii="Times New Roman" w:hAnsi="Times New Roman" w:cs="Times New Roman"/>
          <w:color w:val="000000" w:themeColor="text1"/>
          <w:highlight w:val="none"/>
          <w14:textFill>
            <w14:solidFill>
              <w14:schemeClr w14:val="tx1"/>
            </w14:solidFill>
          </w14:textFill>
        </w:rPr>
      </w:pPr>
    </w:p>
    <w:p>
      <w:pPr>
        <w:spacing w:after="122" w:line="259" w:lineRule="auto"/>
        <w:ind w:left="10"/>
        <w:jc w:val="center"/>
        <w:rPr>
          <w:rFonts w:ascii="华文中宋" w:hAnsi="华文中宋" w:eastAsia="华文中宋" w:cs="华文中宋"/>
          <w:color w:val="000000" w:themeColor="text1"/>
          <w:sz w:val="44"/>
          <w:szCs w:val="44"/>
          <w:highlight w:val="none"/>
          <w14:textFill>
            <w14:solidFill>
              <w14:schemeClr w14:val="tx1"/>
            </w14:solidFill>
          </w14:textFill>
        </w:rPr>
      </w:pPr>
      <w:r>
        <w:rPr>
          <w:rFonts w:hint="eastAsia" w:ascii="华文中宋" w:hAnsi="华文中宋" w:eastAsia="华文中宋" w:cs="华文中宋"/>
          <w:color w:val="000000" w:themeColor="text1"/>
          <w:sz w:val="44"/>
          <w:szCs w:val="44"/>
          <w:highlight w:val="none"/>
          <w14:textFill>
            <w14:solidFill>
              <w14:schemeClr w14:val="tx1"/>
            </w14:solidFill>
          </w14:textFill>
        </w:rPr>
        <w:t>联盟地区药品集团带量采购购销合同</w:t>
      </w:r>
    </w:p>
    <w:p>
      <w:pPr>
        <w:spacing w:line="360" w:lineRule="auto"/>
        <w:ind w:left="11"/>
        <w:jc w:val="center"/>
        <w:rPr>
          <w:rFonts w:ascii="Times New Roman" w:hAnsi="Times New Roman" w:eastAsia="方正小标宋_GBK" w:cs="Times New Roman"/>
          <w:color w:val="000000" w:themeColor="text1"/>
          <w:sz w:val="40"/>
          <w:highlight w:val="none"/>
          <w14:textFill>
            <w14:solidFill>
              <w14:schemeClr w14:val="tx1"/>
            </w14:solidFill>
          </w14:textFill>
        </w:rPr>
      </w:pPr>
    </w:p>
    <w:p>
      <w:pPr>
        <w:spacing w:line="360" w:lineRule="auto"/>
        <w:ind w:left="8136" w:leftChars="198" w:hanging="7700" w:hangingChars="35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交收地址：中国广东省*市*区*路                   </w:t>
      </w:r>
    </w:p>
    <w:p>
      <w:pPr>
        <w:spacing w:line="360" w:lineRule="auto"/>
        <w:ind w:left="8136" w:leftChars="198" w:hanging="7700" w:hangingChars="35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生效时间： 20 * 年 * 月* 日</w:t>
      </w:r>
    </w:p>
    <w:p>
      <w:pPr>
        <w:spacing w:line="360" w:lineRule="auto"/>
        <w:ind w:left="8136" w:leftChars="198" w:hanging="7700" w:hangingChars="35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有效期：20 * 年 * 月* 日至20 * 年 * 月* 日</w:t>
      </w:r>
    </w:p>
    <w:p>
      <w:pPr>
        <w:spacing w:line="360" w:lineRule="auto"/>
        <w:ind w:left="8136" w:leftChars="198" w:hanging="7700" w:hangingChars="3500"/>
        <w:rPr>
          <w:rFonts w:ascii="Times New Roman" w:hAnsi="Times New Roman" w:cs="Times New Roman"/>
          <w:color w:val="000000" w:themeColor="text1"/>
          <w:highlight w:val="none"/>
          <w14:textFill>
            <w14:solidFill>
              <w14:schemeClr w14:val="tx1"/>
            </w14:solidFill>
          </w14:textFill>
        </w:rPr>
      </w:pPr>
    </w:p>
    <w:p>
      <w:pPr>
        <w:spacing w:line="360" w:lineRule="auto"/>
        <w:ind w:left="213" w:leftChars="97" w:firstLine="209" w:firstLineChars="95"/>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甲方(医疗机构)：</w:t>
      </w:r>
    </w:p>
    <w:p>
      <w:pPr>
        <w:spacing w:line="360" w:lineRule="auto"/>
        <w:ind w:left="213" w:leftChars="97" w:firstLine="209" w:firstLineChars="95"/>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乙方(生产企业)：</w:t>
      </w:r>
    </w:p>
    <w:p>
      <w:pPr>
        <w:spacing w:after="194" w:line="360" w:lineRule="auto"/>
        <w:ind w:left="213" w:leftChars="97" w:firstLine="209" w:firstLineChars="95"/>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丙方(配送企业)：</w:t>
      </w:r>
    </w:p>
    <w:p>
      <w:pPr>
        <w:ind w:left="6"/>
        <w:rPr>
          <w:rFonts w:ascii="Times New Roman" w:hAnsi="Times New Roman" w:cs="Times New Roman"/>
          <w:color w:val="000000" w:themeColor="text1"/>
          <w:highlight w:val="none"/>
          <w14:textFill>
            <w14:solidFill>
              <w14:schemeClr w14:val="tx1"/>
            </w14:solidFill>
          </w14:textFill>
        </w:rPr>
      </w:pPr>
    </w:p>
    <w:p>
      <w:pPr>
        <w:adjustRightInd w:val="0"/>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根据《中华人民共和国合同法》《中华人民共和国药品管理法》《药品流通监督管理办法》《药品经营质量管理规范》等相关</w:t>
      </w:r>
      <w:r>
        <w:rPr>
          <w:rFonts w:ascii="Times New Roman" w:hAnsi="Times New Roman" w:cs="Times New Roman"/>
          <w:color w:val="000000" w:themeColor="text1"/>
          <w:highlight w:val="none"/>
          <w:lang w:val="en-US"/>
          <w14:textFill>
            <w14:solidFill>
              <w14:schemeClr w14:val="tx1"/>
            </w14:solidFill>
          </w14:textFill>
        </w:rPr>
        <w:t>法律法规及</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lang w:eastAsia="zh-CN"/>
          <w14:textFill>
            <w14:solidFill>
              <w14:schemeClr w14:val="tx1"/>
            </w14:solidFill>
          </w14:textFill>
        </w:rPr>
        <w:t>广东联盟清开灵等58个药品集团带量采购文件</w:t>
      </w:r>
      <w:r>
        <w:rPr>
          <w:rFonts w:ascii="Times New Roman" w:hAnsi="Times New Roman" w:cs="Times New Roman"/>
          <w:color w:val="000000" w:themeColor="text1"/>
          <w:highlight w:val="none"/>
          <w14:textFill>
            <w14:solidFill>
              <w14:schemeClr w14:val="tx1"/>
            </w14:solidFill>
          </w14:textFill>
        </w:rPr>
        <w:t>》（采购文件编号：GDYJYPDL20210</w:t>
      </w:r>
      <w:r>
        <w:rPr>
          <w:rFonts w:hint="eastAsia" w:ascii="Times New Roman" w:hAnsi="Times New Roman" w:cs="Times New Roman"/>
          <w:color w:val="000000" w:themeColor="text1"/>
          <w:highlight w:val="none"/>
          <w:lang w:val="en-US"/>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）规定，为确保药品网上交易的顺利进行，明确各方的权利和义务，现甲、乙、丙三方在平等、自愿、诚信的基础上，特订立本合同。</w:t>
      </w:r>
    </w:p>
    <w:p>
      <w:pPr>
        <w:spacing w:line="360" w:lineRule="auto"/>
        <w:ind w:left="1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spacing w:line="360" w:lineRule="auto"/>
        <w:ind w:firstLine="442" w:firstLineChars="200"/>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第一条 三方关系</w:t>
      </w:r>
    </w:p>
    <w:p>
      <w:pPr>
        <w:adjustRightInd w:val="0"/>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1.甲方为参与</w:t>
      </w:r>
      <w:r>
        <w:rPr>
          <w:rFonts w:hint="eastAsia" w:ascii="Times New Roman" w:hAnsi="Times New Roman" w:cs="Times New Roman"/>
          <w:color w:val="000000" w:themeColor="text1"/>
          <w:highlight w:val="none"/>
          <w14:textFill>
            <w14:solidFill>
              <w14:schemeClr w14:val="tx1"/>
            </w14:solidFill>
          </w14:textFill>
        </w:rPr>
        <w:t>广东联盟</w:t>
      </w:r>
      <w:r>
        <w:rPr>
          <w:rFonts w:hint="eastAsia" w:ascii="Times New Roman" w:hAnsi="Times New Roman" w:cs="Times New Roman"/>
          <w:color w:val="000000" w:themeColor="text1"/>
          <w:highlight w:val="none"/>
          <w:lang w:eastAsia="zh-CN"/>
          <w14:textFill>
            <w14:solidFill>
              <w14:schemeClr w14:val="tx1"/>
            </w14:solidFill>
          </w14:textFill>
        </w:rPr>
        <w:t>清开灵等</w:t>
      </w:r>
      <w:r>
        <w:rPr>
          <w:rFonts w:hint="eastAsia" w:ascii="Times New Roman" w:hAnsi="Times New Roman" w:cs="Times New Roman"/>
          <w:color w:val="000000" w:themeColor="text1"/>
          <w:highlight w:val="none"/>
          <w14:textFill>
            <w14:solidFill>
              <w14:schemeClr w14:val="tx1"/>
            </w14:solidFill>
          </w14:textFill>
        </w:rPr>
        <w:t>58个</w:t>
      </w:r>
      <w:r>
        <w:rPr>
          <w:rFonts w:hint="eastAsia" w:ascii="Times New Roman" w:hAnsi="Times New Roman" w:cs="Times New Roman"/>
          <w:color w:val="000000" w:themeColor="text1"/>
          <w:highlight w:val="none"/>
          <w:lang w:eastAsia="zh-CN"/>
          <w14:textFill>
            <w14:solidFill>
              <w14:schemeClr w14:val="tx1"/>
            </w14:solidFill>
          </w14:textFill>
        </w:rPr>
        <w:t>药品</w:t>
      </w:r>
      <w:r>
        <w:rPr>
          <w:rFonts w:hint="eastAsia" w:ascii="Times New Roman" w:hAnsi="Times New Roman" w:cs="Times New Roman"/>
          <w:color w:val="000000" w:themeColor="text1"/>
          <w:highlight w:val="none"/>
          <w14:textFill>
            <w14:solidFill>
              <w14:schemeClr w14:val="tx1"/>
            </w14:solidFill>
          </w14:textFill>
        </w:rPr>
        <w:t>集团带量采购</w:t>
      </w:r>
      <w:r>
        <w:rPr>
          <w:rFonts w:ascii="Times New Roman" w:hAnsi="Times New Roman" w:cs="Times New Roman"/>
          <w:color w:val="000000" w:themeColor="text1"/>
          <w:highlight w:val="none"/>
          <w14:textFill>
            <w14:solidFill>
              <w14:schemeClr w14:val="tx1"/>
            </w14:solidFill>
          </w14:textFill>
        </w:rPr>
        <w:t>（以下简称联盟</w:t>
      </w:r>
      <w:r>
        <w:rPr>
          <w:rFonts w:hint="eastAsia" w:ascii="Times New Roman" w:hAnsi="Times New Roman" w:cs="Times New Roman"/>
          <w:color w:val="000000" w:themeColor="text1"/>
          <w:highlight w:val="none"/>
          <w14:textFill>
            <w14:solidFill>
              <w14:schemeClr w14:val="tx1"/>
            </w14:solidFill>
          </w14:textFill>
        </w:rPr>
        <w:t>地区药品</w:t>
      </w:r>
      <w:r>
        <w:rPr>
          <w:rFonts w:ascii="Times New Roman" w:hAnsi="Times New Roman" w:cs="Times New Roman"/>
          <w:color w:val="000000" w:themeColor="text1"/>
          <w:highlight w:val="none"/>
          <w14:textFill>
            <w14:solidFill>
              <w14:schemeClr w14:val="tx1"/>
            </w14:solidFill>
          </w14:textFill>
        </w:rPr>
        <w:t>带量采购）的</w:t>
      </w:r>
      <w:r>
        <w:rPr>
          <w:rFonts w:ascii="Times New Roman" w:hAnsi="Times New Roman" w:cs="Times New Roman"/>
          <w:color w:val="000000" w:themeColor="text1"/>
          <w:highlight w:val="none"/>
          <w:lang w:val="en-US"/>
          <w14:textFill>
            <w14:solidFill>
              <w14:schemeClr w14:val="tx1"/>
            </w14:solidFill>
          </w14:textFill>
        </w:rPr>
        <w:t>医疗机构</w:t>
      </w:r>
      <w:r>
        <w:rPr>
          <w:rFonts w:ascii="Times New Roman" w:hAnsi="Times New Roman" w:cs="Times New Roman"/>
          <w:color w:val="000000" w:themeColor="text1"/>
          <w:highlight w:val="none"/>
          <w14:textFill>
            <w14:solidFill>
              <w14:schemeClr w14:val="tx1"/>
            </w14:solidFill>
          </w14:textFill>
        </w:rPr>
        <w:t>，乙方为联盟</w:t>
      </w:r>
      <w:r>
        <w:rPr>
          <w:rFonts w:hint="eastAsia" w:ascii="Times New Roman" w:hAnsi="Times New Roman" w:cs="Times New Roman"/>
          <w:color w:val="000000" w:themeColor="text1"/>
          <w:highlight w:val="none"/>
          <w14:textFill>
            <w14:solidFill>
              <w14:schemeClr w14:val="tx1"/>
            </w14:solidFill>
          </w14:textFill>
        </w:rPr>
        <w:t>地区药品</w:t>
      </w:r>
      <w:r>
        <w:rPr>
          <w:rFonts w:ascii="Times New Roman" w:hAnsi="Times New Roman" w:cs="Times New Roman"/>
          <w:color w:val="000000" w:themeColor="text1"/>
          <w:highlight w:val="none"/>
          <w14:textFill>
            <w14:solidFill>
              <w14:schemeClr w14:val="tx1"/>
            </w14:solidFill>
          </w14:textFill>
        </w:rPr>
        <w:t>带量采购中选药品的生产企业，丙方为乙方委托的联盟</w:t>
      </w:r>
      <w:r>
        <w:rPr>
          <w:rFonts w:hint="eastAsia" w:ascii="Times New Roman" w:hAnsi="Times New Roman" w:cs="Times New Roman"/>
          <w:color w:val="000000" w:themeColor="text1"/>
          <w:highlight w:val="none"/>
          <w14:textFill>
            <w14:solidFill>
              <w14:schemeClr w14:val="tx1"/>
            </w14:solidFill>
          </w14:textFill>
        </w:rPr>
        <w:t>地区药品</w:t>
      </w:r>
      <w:r>
        <w:rPr>
          <w:rFonts w:ascii="Times New Roman" w:hAnsi="Times New Roman" w:cs="Times New Roman"/>
          <w:color w:val="000000" w:themeColor="text1"/>
          <w:highlight w:val="none"/>
          <w14:textFill>
            <w14:solidFill>
              <w14:schemeClr w14:val="tx1"/>
            </w14:solidFill>
          </w14:textFill>
        </w:rPr>
        <w:t>带量采购中选药品的配送企业。</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2.在本合同有效期内，三方之间的药品购销行为以及因此而产生的其他关系均受本合同约束。</w:t>
      </w:r>
    </w:p>
    <w:p>
      <w:pPr>
        <w:spacing w:line="360" w:lineRule="auto"/>
        <w:ind w:firstLine="442" w:firstLineChars="200"/>
        <w:rPr>
          <w:rFonts w:ascii="Times New Roman" w:hAnsi="Times New Roman" w:cs="Times New Roman"/>
          <w:b/>
          <w:bCs/>
          <w:color w:val="000000" w:themeColor="text1"/>
          <w:highlight w:val="none"/>
          <w14:textFill>
            <w14:solidFill>
              <w14:schemeClr w14:val="tx1"/>
            </w14:solidFill>
          </w14:textFill>
        </w:rPr>
      </w:pPr>
    </w:p>
    <w:p>
      <w:pPr>
        <w:spacing w:line="360" w:lineRule="auto"/>
        <w:ind w:firstLine="442" w:firstLineChars="200"/>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第二条 合同标的</w:t>
      </w:r>
    </w:p>
    <w:p>
      <w:pPr>
        <w:spacing w:line="360" w:lineRule="auto"/>
        <w:ind w:left="5"/>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lang w:val="en-US" w:eastAsia="zh-CN"/>
          <w14:textFill>
            <w14:solidFill>
              <w14:schemeClr w14:val="tx1"/>
            </w14:solidFill>
          </w14:textFill>
        </w:rPr>
        <w:t xml:space="preserve">    </w:t>
      </w:r>
      <w:r>
        <w:rPr>
          <w:rFonts w:ascii="Times New Roman" w:hAnsi="Times New Roman" w:cs="Times New Roman"/>
          <w:color w:val="000000" w:themeColor="text1"/>
          <w:highlight w:val="none"/>
          <w14:textFill>
            <w14:solidFill>
              <w14:schemeClr w14:val="tx1"/>
            </w14:solidFill>
          </w14:textFill>
        </w:rPr>
        <w:t>中选药品的名称、剂型、规格、包装规格、中选价格、约定采购量、生产企业等见本合同附件之中选药品采购明细表。</w:t>
      </w:r>
    </w:p>
    <w:p>
      <w:pPr>
        <w:spacing w:line="360" w:lineRule="auto"/>
        <w:ind w:left="5"/>
        <w:rPr>
          <w:rFonts w:ascii="Times New Roman" w:hAnsi="Times New Roman" w:cs="Times New Roman"/>
          <w:color w:val="000000" w:themeColor="text1"/>
          <w:highlight w:val="none"/>
          <w14:textFill>
            <w14:solidFill>
              <w14:schemeClr w14:val="tx1"/>
            </w14:solidFill>
          </w14:textFill>
        </w:rPr>
      </w:pPr>
    </w:p>
    <w:p>
      <w:pPr>
        <w:spacing w:line="360" w:lineRule="auto"/>
        <w:ind w:firstLine="442" w:firstLineChars="200"/>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第三条 资质</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1.乙方为合法的药品生产企业，且具备法定的履行本合同的能力，乙方应当在签订本合同后的 3日内向丙方提供如下加盖有乙方公章的材料复印件：</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（1）营业执照；</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（2）药品生产许可证。</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2.丙方为合法的药品配送企业，且具备法定的履行本合同的能力，丙方应当在签订本合同后的 3日内向甲方、乙方提供如下加盖有丙方公章的材料复印件：</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（1）营业执照；</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（2）药品经营许可证。</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3.乙方、丙方中任何一方未提供上述材料的，本合同不得继续履行。</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4.在本合同履行期间，如遇乙、丙双方上述证书换发，双方应在证书换发后的 10 个工作日内向对方以及甲方更新材料。</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p>
    <w:p>
      <w:pPr>
        <w:spacing w:line="360" w:lineRule="auto"/>
        <w:ind w:firstLine="442" w:firstLineChars="200"/>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第四条 交易方式</w:t>
      </w:r>
    </w:p>
    <w:p>
      <w:pPr>
        <w:adjustRightInd w:val="0"/>
        <w:spacing w:line="360" w:lineRule="auto"/>
        <w:ind w:left="440" w:left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甲方、乙方、丙方对本合同所列中选药品通过</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14:textFill>
            <w14:solidFill>
              <w14:schemeClr w14:val="tx1"/>
            </w14:solidFill>
          </w14:textFill>
        </w:rPr>
        <w:t>（省/广州/深圳）平台进行线上采购。</w:t>
      </w:r>
    </w:p>
    <w:p>
      <w:pPr>
        <w:spacing w:line="360" w:lineRule="auto"/>
        <w:ind w:left="1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第五条 药品质量、批件与有效期</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乙方供应的中选药品应符合中选药品生产国与中华人民共和国国家药品质量标准和有关质量要求，并与投标时承诺的质量相一致，以确保用药安全有效。药品的包装、标识、标签、说明书等应符合国家相关规定，并具备国家管理部门的相关批件。</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2.乙方、丙方应向甲方提供其合法的有效证件及所供中选药品的生产批件或进口药品注册证、质量标准等相关文件。</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各方对药品质量存在争议时，应送甲方所在地药检部门检验，同时报告所在地医保部门。如送检药品存在质量问题的，检验费用乙方承担，甲方有权据此单方终止该中选药品购销合同的履行，同时报告所在地医保、药监部门，按《广东省医疗保障局关于做好药品和医用耗材采购工作的指导意见》（粤医保规〔2020〕2号）及《</w:t>
      </w:r>
      <w:r>
        <w:rPr>
          <w:rFonts w:hint="eastAsia" w:ascii="Times New Roman" w:hAnsi="Times New Roman" w:cs="Times New Roman"/>
          <w:color w:val="000000" w:themeColor="text1"/>
          <w:highlight w:val="none"/>
          <w:lang w:eastAsia="zh-CN"/>
          <w14:textFill>
            <w14:solidFill>
              <w14:schemeClr w14:val="tx1"/>
            </w14:solidFill>
          </w14:textFill>
        </w:rPr>
        <w:t>广东联盟清开灵等58个药品集团带量采购文件</w:t>
      </w:r>
      <w:r>
        <w:rPr>
          <w:rFonts w:ascii="Times New Roman" w:hAnsi="Times New Roman" w:cs="Times New Roman"/>
          <w:color w:val="000000" w:themeColor="text1"/>
          <w:highlight w:val="none"/>
          <w14:textFill>
            <w14:solidFill>
              <w14:schemeClr w14:val="tx1"/>
            </w14:solidFill>
          </w14:textFill>
        </w:rPr>
        <w:t>》（采购文件编号：GDYJYPDL20210</w:t>
      </w:r>
      <w:r>
        <w:rPr>
          <w:rFonts w:hint="eastAsia" w:ascii="Times New Roman" w:hAnsi="Times New Roman" w:cs="Times New Roman"/>
          <w:color w:val="000000" w:themeColor="text1"/>
          <w:highlight w:val="none"/>
          <w:lang w:val="en-US"/>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）相关条款处理；如送检药品无质量问题的，合同继续履行，检验费用由甲方承担。</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lang w:val="en-US"/>
          <w14:textFill>
            <w14:solidFill>
              <w14:schemeClr w14:val="tx1"/>
            </w14:solidFill>
          </w14:textFill>
        </w:rPr>
        <w:t>甲、乙、丙三方按各自责任范围承担药品储存及质量管理责任：</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（1）甲方对已购进的中选药品应妥善储存和管理，如因甲方库存条件不符合药品正常储存造成的药品质量问题，由甲方承担全部责任。</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（2）丙方对已购进的中选药品应妥善储存和管理，如因丙方库存条件不符合药品正常储存造成的药品质量问题，由丙方承担全部责任。</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（3）除上述原因外的药品质量问题造成的一切损失及第三方责任，由乙方和丙方</w:t>
      </w:r>
      <w:r>
        <w:rPr>
          <w:rFonts w:ascii="Times New Roman" w:hAnsi="Times New Roman" w:cs="Times New Roman"/>
          <w:color w:val="000000" w:themeColor="text1"/>
          <w:highlight w:val="none"/>
          <w:lang w:val="en-US"/>
          <w14:textFill>
            <w14:solidFill>
              <w14:schemeClr w14:val="tx1"/>
            </w14:solidFill>
          </w14:textFill>
        </w:rPr>
        <w:t>连带</w:t>
      </w:r>
      <w:r>
        <w:rPr>
          <w:rFonts w:ascii="Times New Roman" w:hAnsi="Times New Roman" w:cs="Times New Roman"/>
          <w:color w:val="000000" w:themeColor="text1"/>
          <w:highlight w:val="none"/>
          <w14:textFill>
            <w14:solidFill>
              <w14:schemeClr w14:val="tx1"/>
            </w14:solidFill>
          </w14:textFill>
        </w:rPr>
        <w:t>承担全部责任。有关乙方和丙方之间内部责任问题按双方约定。</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5</w:t>
      </w:r>
      <w:r>
        <w:rPr>
          <w:rFonts w:ascii="Times New Roman" w:hAnsi="Times New Roman" w:cs="Times New Roman"/>
          <w:color w:val="000000" w:themeColor="text1"/>
          <w:highlight w:val="none"/>
          <w14:textFill>
            <w14:solidFill>
              <w14:schemeClr w14:val="tx1"/>
            </w14:solidFill>
          </w14:textFill>
        </w:rPr>
        <w:t>.前述中选药品批件应当随货提供。</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.乙方确保其每次交付给丙方的中选药品时，供货中选药品的剩余有效期符合如下条件：</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（1）中选药品有效期为一年的，剩余有效期至少为九个月；</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（2）中选药品有效期为一年半至两年的，剩余有效期至少为十二个月；</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（3）中选药品有效期超过二年的，剩余有效期至少为十五个月。</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如遇特殊情况，甲、乙、丙三方可另行通过补充协议的方式约定剩余有效期的长短。在中选药品发生货源紧张的状况下，</w:t>
      </w:r>
      <w:r>
        <w:rPr>
          <w:rFonts w:ascii="Times New Roman" w:hAnsi="Times New Roman" w:cs="Times New Roman"/>
          <w:color w:val="000000" w:themeColor="text1"/>
          <w:highlight w:val="none"/>
          <w:lang w:val="en-US"/>
          <w14:textFill>
            <w14:solidFill>
              <w14:schemeClr w14:val="tx1"/>
            </w14:solidFill>
          </w14:textFill>
        </w:rPr>
        <w:t>乙</w:t>
      </w:r>
      <w:r>
        <w:rPr>
          <w:rFonts w:ascii="Times New Roman" w:hAnsi="Times New Roman" w:cs="Times New Roman"/>
          <w:color w:val="000000" w:themeColor="text1"/>
          <w:highlight w:val="none"/>
          <w14:textFill>
            <w14:solidFill>
              <w14:schemeClr w14:val="tx1"/>
            </w14:solidFill>
          </w14:textFill>
        </w:rPr>
        <w:t>方应优先满足本合同的需求，避免脱销。</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7</w:t>
      </w:r>
      <w:r>
        <w:rPr>
          <w:rFonts w:ascii="Times New Roman" w:hAnsi="Times New Roman" w:cs="Times New Roman"/>
          <w:color w:val="000000" w:themeColor="text1"/>
          <w:highlight w:val="none"/>
          <w14:textFill>
            <w14:solidFill>
              <w14:schemeClr w14:val="tx1"/>
            </w14:solidFill>
          </w14:textFill>
        </w:rPr>
        <w:t>.如乙方供货中选药品为首营品种药品的，乙方有责任在交货前向丙方提供完整、准确的药品首营资料。</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8</w:t>
      </w:r>
      <w:r>
        <w:rPr>
          <w:rFonts w:ascii="Times New Roman" w:hAnsi="Times New Roman" w:cs="Times New Roman"/>
          <w:color w:val="000000" w:themeColor="text1"/>
          <w:highlight w:val="none"/>
          <w14:textFill>
            <w14:solidFill>
              <w14:schemeClr w14:val="tx1"/>
            </w14:solidFill>
          </w14:textFill>
        </w:rPr>
        <w:t>.丙方配送到甲方的药品，剩余有效期不得少于</w:t>
      </w:r>
      <w:r>
        <w:rPr>
          <w:rFonts w:ascii="Times New Roman" w:hAnsi="Times New Roman" w:cs="Times New Roman"/>
          <w:color w:val="000000" w:themeColor="text1"/>
          <w:highlight w:val="none"/>
          <w:lang w:val="en-US"/>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个月。丙方可以拒收乙方超出订货协议数量的货物。特殊品种甲、乙、丙三方另行协商。</w:t>
      </w:r>
    </w:p>
    <w:p>
      <w:pPr>
        <w:numPr>
          <w:ilvl w:val="255"/>
          <w:numId w:val="0"/>
        </w:numPr>
        <w:spacing w:line="360" w:lineRule="auto"/>
        <w:ind w:left="20" w:hanging="10"/>
        <w:rPr>
          <w:rFonts w:ascii="Times New Roman" w:hAnsi="Times New Roman" w:cs="Times New Roman"/>
          <w:color w:val="000000" w:themeColor="text1"/>
          <w:highlight w:val="none"/>
          <w14:textFill>
            <w14:solidFill>
              <w14:schemeClr w14:val="tx1"/>
            </w14:solidFill>
          </w14:textFill>
        </w:rPr>
      </w:pPr>
    </w:p>
    <w:p>
      <w:pPr>
        <w:spacing w:line="360" w:lineRule="auto"/>
        <w:ind w:left="213" w:leftChars="97" w:firstLine="210" w:firstLineChars="95"/>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第六条 订货与运送交付</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1.本合同签订后，乙方应按约定采购量组织生产，保证按本合同约定及时足量供应中选药品。</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2.甲方在乙方、丙方无违约行为的前提下，必须足量采购本合同附件所列的中选药品，确保在合同有效期内完成约定采购量。</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3.乙方保证中选药品包装符合《中华人民共和国药品管理法》及国家各级药品监督管理机构颁布的法规规章及货物运输要求。</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4.丙方保证以符合 GSP 规范及中选药品特性的物流配送方式进行运输，并就运输过程中因包装或运输不善、配送迟延等原因导致中选药品损坏、变质、短缺或剩余有效期不符等承担全部责任。</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bookmarkStart w:id="43" w:name="_Hlk48139721"/>
      <w:r>
        <w:rPr>
          <w:rFonts w:ascii="Times New Roman" w:hAnsi="Times New Roman" w:cs="Times New Roman"/>
          <w:color w:val="000000" w:themeColor="text1"/>
          <w:highlight w:val="none"/>
          <w14:textFill>
            <w14:solidFill>
              <w14:schemeClr w14:val="tx1"/>
            </w14:solidFill>
          </w14:textFill>
        </w:rPr>
        <w:t>5.乙方应按乙、丙双方约定的运输方式、期限和交货地点向丙方交付产品。</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6.乙、丙双方确认供货事项后，乙方如期供货但供货中选药品种类不符或有短缺，丙方有权拒收。</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7.丙方可委托第三方物流将中选药品托运至</w:t>
      </w:r>
      <w:r>
        <w:rPr>
          <w:rFonts w:ascii="Times New Roman" w:hAnsi="Times New Roman" w:cs="Times New Roman"/>
          <w:color w:val="000000" w:themeColor="text1"/>
          <w:highlight w:val="none"/>
          <w:lang w:val="en-US"/>
          <w14:textFill>
            <w14:solidFill>
              <w14:schemeClr w14:val="tx1"/>
            </w14:solidFill>
          </w14:textFill>
        </w:rPr>
        <w:t>甲</w:t>
      </w:r>
      <w:r>
        <w:rPr>
          <w:rFonts w:ascii="Times New Roman" w:hAnsi="Times New Roman" w:cs="Times New Roman"/>
          <w:color w:val="000000" w:themeColor="text1"/>
          <w:highlight w:val="none"/>
          <w14:textFill>
            <w14:solidFill>
              <w14:schemeClr w14:val="tx1"/>
            </w14:solidFill>
          </w14:textFill>
        </w:rPr>
        <w:t>方指定的收货地点，在此种情况下运输中发生的一切费用，包括但不限于中转费、运输费、保险费及卸货费等均由丙方承担。</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8.中选药品到达丙方仓库或丙方收货地点交付之前的风险由乙方承担，到达目的地经验收交付后的风险由丙方承担。</w:t>
      </w:r>
    </w:p>
    <w:bookmarkEnd w:id="43"/>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9.甲方通过交易平台发送的订单，丙方应在12小时内响应，24小时内配送到位，最长不超过48小时；偏远地区可适当放宽配送到位时间，原则上72小时内必须配送到位。</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10.丙方配送中选药品的品种、剂型、数量等必须严格按照甲方发送的订单执行，同时应提供同批号药品的检验报告书。</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11.乙方为中选药品质量与供应的第一责任人，对丙方的配送供货行为负责，并承担连带责任。</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bookmarkStart w:id="44" w:name="_Hlk48139743"/>
      <w:r>
        <w:rPr>
          <w:rFonts w:ascii="Times New Roman" w:hAnsi="Times New Roman" w:cs="Times New Roman"/>
          <w:color w:val="000000" w:themeColor="text1"/>
          <w:highlight w:val="none"/>
          <w14:textFill>
            <w14:solidFill>
              <w14:schemeClr w14:val="tx1"/>
            </w14:solidFill>
          </w14:textFill>
        </w:rPr>
        <w:t>12.除非对包装另有规定，丙方配送的全部药品必须按标准保护措施进行包装，以防止药品在转运中损坏或变质，确保药品安全无损运抵指定现场，否则其所造成的一切损失均由乙、丙双方协商负责。</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13.每一个包装箱内必须附一份详细装箱单。包装、标记和包装箱内外的单据应符合协议的特殊要求，包括甲方后来提出的特殊要求。</w:t>
      </w:r>
    </w:p>
    <w:bookmarkEnd w:id="44"/>
    <w:p>
      <w:pPr>
        <w:spacing w:line="360" w:lineRule="auto"/>
        <w:ind w:left="1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第七条 药品验收</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bookmarkStart w:id="45" w:name="_Hlk48139856"/>
      <w:r>
        <w:rPr>
          <w:rFonts w:ascii="Times New Roman" w:hAnsi="Times New Roman" w:cs="Times New Roman"/>
          <w:color w:val="000000" w:themeColor="text1"/>
          <w:highlight w:val="none"/>
          <w14:textFill>
            <w14:solidFill>
              <w14:schemeClr w14:val="tx1"/>
            </w14:solidFill>
          </w14:textFill>
        </w:rPr>
        <w:t>1.中选药品交付时，乙方应货票同行，并严格按照法定的运输管理要求及药品储存、包装标准等将中选药品按时发运给丙方，丙方收到乙方供货的中选药品时，应当场清点产品的整体整箱外包装（即大件包装）是否完好牢固，乙方应派人协助丙方验收。乙方未派人协助丙方验收，视为乙方确认丙方可独立验收。丙方在接收产品时，发现短少、破损、污染、异形等情形，或有其他不符合法律法规规定的情形，有权拒绝接收，乙方应及时更换被拒绝的中选药品，并承担由此对丙方造成的损失。</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中选药品入丙方库后，丙方发现其中中小包装短少、破损、污染、异形等情形，或有其他不符合法律法规规定的情形，丙方应当及时通知乙方（并附情况说明及补货、退货或换货的书面要求现场照片）。乙方在接到丙方书面要求后的 15 日内应当按丙方的要求补货、退货或换货，由此产生的一切风险和费用由乙方承担。丙方发现同一批供货中的中小包装短少、破损、污染、异形等情况超过总量的 5%的，有权要求乙方就该批供货整体退货或换货。</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3.即使乙方的中选药品通过了丙方的验收，仍不能排除乙方供货中选药品存在质量缺陷的可能。在发生药品质量纠纷时，乙方不能以“已通过验收”作为中选药品不存在安全、质量瑕疵的抗辩理由。</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4.丙方应当在配送中选药品予甲方的同时，在交易系统按要求进行相应的操作及上传相应的文件如出库单、发票等；自丙方在系统操作确认发货之时起，甲方须在验收药品合格后的七个工作日内在交易系统进行收货确认，甲方未在上述时段内确认收货的，系统将自动确认收货。</w:t>
      </w:r>
    </w:p>
    <w:bookmarkEnd w:id="45"/>
    <w:p>
      <w:pPr>
        <w:spacing w:line="360" w:lineRule="auto"/>
        <w:ind w:left="213" w:leftChars="97" w:firstLine="210" w:firstLineChars="95"/>
        <w:rPr>
          <w:rFonts w:ascii="Times New Roman" w:hAnsi="Times New Roman" w:cs="Times New Roman"/>
          <w:b/>
          <w:bCs/>
          <w:color w:val="000000" w:themeColor="text1"/>
          <w:highlight w:val="none"/>
          <w14:textFill>
            <w14:solidFill>
              <w14:schemeClr w14:val="tx1"/>
            </w14:solidFill>
          </w14:textFill>
        </w:rPr>
      </w:pPr>
    </w:p>
    <w:p>
      <w:pPr>
        <w:spacing w:line="360" w:lineRule="auto"/>
        <w:ind w:left="213" w:leftChars="97" w:firstLine="210" w:firstLineChars="95"/>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第八条 中选药品的规定</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1.甲方根据带量购销合同约定，在合同期内完成合同用量。</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2.甲方若在合同期内提前超额完成约定采购量的，超过部分由甲、乙、丙三方另行协商解决。</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p>
    <w:p>
      <w:pPr>
        <w:spacing w:line="360" w:lineRule="auto"/>
        <w:ind w:left="213" w:leftChars="97" w:firstLine="210" w:firstLineChars="95"/>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第九条 货款结算</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1.采购价格：按本合同附件之中选药品采购明细表中载明的中选价格执行，该价格包含成本、运输、包装、伴随服务、税费及其他一切附加费用。</w:t>
      </w:r>
    </w:p>
    <w:p>
      <w:pPr>
        <w:pStyle w:val="6"/>
        <w:spacing w:after="0" w:line="360" w:lineRule="auto"/>
        <w:ind w:left="0" w:firstLine="440" w:firstLineChars="200"/>
        <w:rPr>
          <w:rFonts w:ascii="Times New Roman" w:hAnsi="Times New Roman" w:eastAsia="仿宋" w:cs="Times New Roman"/>
          <w:color w:val="000000" w:themeColor="text1"/>
          <w:kern w:val="0"/>
          <w:sz w:val="22"/>
          <w:highlight w:val="none"/>
          <w:lang w:val="zh-CN" w:bidi="zh-CN"/>
          <w14:textFill>
            <w14:solidFill>
              <w14:schemeClr w14:val="tx1"/>
            </w14:solidFill>
          </w14:textFill>
        </w:rPr>
      </w:pPr>
      <w:r>
        <w:rPr>
          <w:rFonts w:ascii="Times New Roman" w:hAnsi="Times New Roman" w:eastAsia="仿宋" w:cs="Times New Roman"/>
          <w:color w:val="000000" w:themeColor="text1"/>
          <w:kern w:val="0"/>
          <w:sz w:val="22"/>
          <w:highlight w:val="none"/>
          <w:lang w:val="zh-CN" w:bidi="zh-CN"/>
          <w14:textFill>
            <w14:solidFill>
              <w14:schemeClr w14:val="tx1"/>
            </w14:solidFill>
          </w14:textFill>
        </w:rPr>
        <w:t>2.发票开具：丙方应对中选药品开具发票和清单，随货同行将合法发票送达甲方。甲方接收丙方配送的中选药品后，应在收到合法发票后按规定通过交易平台进行发票交付确认。</w:t>
      </w:r>
    </w:p>
    <w:p>
      <w:pPr>
        <w:pStyle w:val="6"/>
        <w:spacing w:after="0" w:line="360" w:lineRule="auto"/>
        <w:ind w:left="0" w:firstLine="440" w:firstLineChars="200"/>
        <w:rPr>
          <w:rFonts w:ascii="Times New Roman" w:hAnsi="Times New Roman" w:eastAsia="仿宋" w:cs="Times New Roman"/>
          <w:color w:val="000000" w:themeColor="text1"/>
          <w:highlight w:val="none"/>
          <w14:textFill>
            <w14:solidFill>
              <w14:schemeClr w14:val="tx1"/>
            </w14:solidFill>
          </w14:textFill>
        </w:rPr>
      </w:pPr>
      <w:r>
        <w:rPr>
          <w:rFonts w:ascii="Times New Roman" w:hAnsi="Times New Roman" w:eastAsia="仿宋" w:cs="Times New Roman"/>
          <w:color w:val="000000" w:themeColor="text1"/>
          <w:kern w:val="0"/>
          <w:sz w:val="22"/>
          <w:highlight w:val="none"/>
          <w:lang w:val="zh-CN" w:bidi="zh-CN"/>
          <w14:textFill>
            <w14:solidFill>
              <w14:schemeClr w14:val="tx1"/>
            </w14:solidFill>
          </w14:textFill>
        </w:rPr>
        <w:t>3.结算时间：甲方为货款结算第一责任人，应按合同规定与丙方及时结算，从收货验收合格起30日内通过交易平台向丙方支付全部货款。</w:t>
      </w:r>
    </w:p>
    <w:p>
      <w:pPr>
        <w:numPr>
          <w:ilvl w:val="255"/>
          <w:numId w:val="0"/>
        </w:numPr>
        <w:spacing w:line="360" w:lineRule="auto"/>
        <w:ind w:left="20"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4.交易平台</w:t>
      </w:r>
      <w:r>
        <w:rPr>
          <w:rFonts w:ascii="Times New Roman" w:hAnsi="Times New Roman" w:cs="Times New Roman"/>
          <w:color w:val="000000" w:themeColor="text1"/>
          <w:highlight w:val="none"/>
          <w14:textFill>
            <w14:solidFill>
              <w14:schemeClr w14:val="tx1"/>
            </w14:solidFill>
          </w14:textFill>
        </w:rPr>
        <w:t>在当期应付货款到期</w:t>
      </w:r>
      <w:r>
        <w:rPr>
          <w:rFonts w:ascii="Times New Roman" w:hAnsi="Times New Roman" w:cs="Times New Roman"/>
          <w:color w:val="000000" w:themeColor="text1"/>
          <w:highlight w:val="none"/>
          <w:lang w:val="en-US"/>
          <w14:textFill>
            <w14:solidFill>
              <w14:schemeClr w14:val="tx1"/>
            </w14:solidFill>
          </w14:textFill>
        </w:rPr>
        <w:t>前7日</w:t>
      </w:r>
      <w:r>
        <w:rPr>
          <w:rFonts w:ascii="Times New Roman" w:hAnsi="Times New Roman" w:cs="Times New Roman"/>
          <w:color w:val="000000" w:themeColor="text1"/>
          <w:highlight w:val="none"/>
          <w14:textFill>
            <w14:solidFill>
              <w14:schemeClr w14:val="tx1"/>
            </w14:solidFill>
          </w14:textFill>
        </w:rPr>
        <w:t>对</w:t>
      </w:r>
      <w:r>
        <w:rPr>
          <w:rFonts w:ascii="Times New Roman" w:hAnsi="Times New Roman" w:cs="Times New Roman"/>
          <w:color w:val="000000" w:themeColor="text1"/>
          <w:highlight w:val="none"/>
          <w:lang w:val="en-US"/>
          <w14:textFill>
            <w14:solidFill>
              <w14:schemeClr w14:val="tx1"/>
            </w14:solidFill>
          </w14:textFill>
        </w:rPr>
        <w:t>甲方</w:t>
      </w:r>
      <w:r>
        <w:rPr>
          <w:rFonts w:ascii="Times New Roman" w:hAnsi="Times New Roman" w:cs="Times New Roman"/>
          <w:color w:val="000000" w:themeColor="text1"/>
          <w:highlight w:val="none"/>
          <w14:textFill>
            <w14:solidFill>
              <w14:schemeClr w14:val="tx1"/>
            </w14:solidFill>
          </w14:textFill>
        </w:rPr>
        <w:t>发出缴</w:t>
      </w:r>
      <w:r>
        <w:rPr>
          <w:rFonts w:ascii="Times New Roman" w:hAnsi="Times New Roman" w:cs="Times New Roman"/>
          <w:color w:val="000000" w:themeColor="text1"/>
          <w:highlight w:val="none"/>
          <w:lang w:val="en-US"/>
          <w14:textFill>
            <w14:solidFill>
              <w14:schemeClr w14:val="tx1"/>
            </w14:solidFill>
          </w14:textFill>
        </w:rPr>
        <w:t>款提醒</w:t>
      </w:r>
      <w:r>
        <w:rPr>
          <w:rFonts w:ascii="Times New Roman" w:hAnsi="Times New Roman" w:cs="Times New Roman"/>
          <w:color w:val="000000" w:themeColor="text1"/>
          <w:highlight w:val="none"/>
          <w14:textFill>
            <w14:solidFill>
              <w14:schemeClr w14:val="tx1"/>
            </w14:solidFill>
          </w14:textFill>
        </w:rPr>
        <w:t>通知，告知其应付货款的最后支付时间。</w:t>
      </w:r>
    </w:p>
    <w:p>
      <w:pPr>
        <w:numPr>
          <w:ilvl w:val="255"/>
          <w:numId w:val="0"/>
        </w:numPr>
        <w:spacing w:line="360" w:lineRule="auto"/>
        <w:rPr>
          <w:rFonts w:ascii="Times New Roman" w:hAnsi="Times New Roman" w:cs="Times New Roman"/>
          <w:color w:val="000000" w:themeColor="text1"/>
          <w:highlight w:val="none"/>
          <w14:textFill>
            <w14:solidFill>
              <w14:schemeClr w14:val="tx1"/>
            </w14:solidFill>
          </w14:textFill>
        </w:rPr>
      </w:pPr>
    </w:p>
    <w:p>
      <w:pPr>
        <w:spacing w:line="360" w:lineRule="auto"/>
        <w:ind w:left="229" w:leftChars="104" w:firstLine="210" w:firstLineChars="95"/>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第十条 退换货及召回</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1.若因中选药品的质量问题，损坏或变质发生甲方退货的情况，乙方应无条件退换货并承担由此产生的一切费用，所导致的所有纠纷及赔偿由乙方承担责任。乙方承诺补偿甲方由此造成的所有损失。</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2"/>
          <w:highlight w:val="none"/>
          <w:lang w:val="en-US"/>
          <w14:textFill>
            <w14:solidFill>
              <w14:schemeClr w14:val="tx1"/>
            </w14:solidFill>
          </w14:textFill>
        </w:rPr>
        <w:t>2.</w:t>
      </w:r>
      <w:r>
        <w:rPr>
          <w:rFonts w:ascii="Times New Roman" w:hAnsi="Times New Roman" w:cs="Times New Roman"/>
          <w:color w:val="000000" w:themeColor="text1"/>
          <w:sz w:val="22"/>
          <w:highlight w:val="none"/>
          <w14:textFill>
            <w14:solidFill>
              <w14:schemeClr w14:val="tx1"/>
            </w14:solidFill>
          </w14:textFill>
        </w:rPr>
        <w:t>乙方供货符合质量验收的标准。甲方收货的当天，中选药品的剩余有效期不足6个月，甲方收货后的5个工作日内有权要求作出退货或换货的处理，</w:t>
      </w:r>
      <w:r>
        <w:rPr>
          <w:rFonts w:ascii="Times New Roman" w:hAnsi="Times New Roman" w:cs="Times New Roman"/>
          <w:color w:val="000000" w:themeColor="text1"/>
          <w:sz w:val="22"/>
          <w:highlight w:val="none"/>
          <w:lang w:val="en-US"/>
          <w14:textFill>
            <w14:solidFill>
              <w14:schemeClr w14:val="tx1"/>
            </w14:solidFill>
          </w14:textFill>
        </w:rPr>
        <w:t>向丙方或</w:t>
      </w:r>
      <w:r>
        <w:rPr>
          <w:rFonts w:ascii="Times New Roman" w:hAnsi="Times New Roman" w:cs="Times New Roman"/>
          <w:color w:val="000000" w:themeColor="text1"/>
          <w:sz w:val="22"/>
          <w:highlight w:val="none"/>
          <w14:textFill>
            <w14:solidFill>
              <w14:schemeClr w14:val="tx1"/>
            </w14:solidFill>
          </w14:textFill>
        </w:rPr>
        <w:t>通过丙方向乙方行使此项权利。</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2"/>
          <w:highlight w:val="none"/>
          <w:lang w:val="en-US"/>
          <w14:textFill>
            <w14:solidFill>
              <w14:schemeClr w14:val="tx1"/>
            </w14:solidFill>
          </w14:textFill>
        </w:rPr>
        <w:t>3.</w:t>
      </w:r>
      <w:r>
        <w:rPr>
          <w:rFonts w:ascii="Times New Roman" w:hAnsi="Times New Roman" w:cs="Times New Roman"/>
          <w:color w:val="000000" w:themeColor="text1"/>
          <w:sz w:val="22"/>
          <w:highlight w:val="none"/>
          <w14:textFill>
            <w14:solidFill>
              <w14:schemeClr w14:val="tx1"/>
            </w14:solidFill>
          </w14:textFill>
        </w:rPr>
        <w:t xml:space="preserve">对由于不动销或滞销而出现的近效期中选药品，甲方可向丙方或通过丙方向乙方就未销售的中选药品进行协商处理。 </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经甲、丙双方合同约定或协商，在发生甲方退货情形时，由于退货产生的退货货款，甲方已经支付货款的，甲方可以要求丙方即时向其归还该款，也可将此货款冲抵下一次供货产生的货款；甲方尚未支付退货货款的，甲方不承担继续支付的责任。</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5</w:t>
      </w:r>
      <w:r>
        <w:rPr>
          <w:rFonts w:ascii="Times New Roman" w:hAnsi="Times New Roman" w:cs="Times New Roman"/>
          <w:color w:val="000000" w:themeColor="text1"/>
          <w:highlight w:val="none"/>
          <w14:textFill>
            <w14:solidFill>
              <w14:schemeClr w14:val="tx1"/>
            </w14:solidFill>
          </w14:textFill>
        </w:rPr>
        <w:t xml:space="preserve">.在本合同履行过程中，若乙方自行或者根据相关职能部门的要求召回中选药品时，乙方应当及时通知甲方，作出相应说明。乙方应向甲方提供必要的协助配合，且召回中所产生的费用均由乙方承担。 </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.乙方在最终召回日期后的5个工作日内，根据实际召回数量向丙方、甲方归还货款。在此之后仍有中选药品被召回的，乙方应按上述约定承担同样的责任。</w:t>
      </w:r>
    </w:p>
    <w:p>
      <w:pPr>
        <w:spacing w:line="360" w:lineRule="auto"/>
        <w:ind w:left="229" w:leftChars="104" w:firstLine="209" w:firstLineChars="95"/>
        <w:rPr>
          <w:rFonts w:ascii="Times New Roman" w:hAnsi="Times New Roman" w:cs="Times New Roman"/>
          <w:color w:val="000000" w:themeColor="text1"/>
          <w:highlight w:val="none"/>
          <w14:textFill>
            <w14:solidFill>
              <w14:schemeClr w14:val="tx1"/>
            </w14:solidFill>
          </w14:textFill>
        </w:rPr>
      </w:pPr>
    </w:p>
    <w:p>
      <w:pPr>
        <w:spacing w:line="360" w:lineRule="auto"/>
        <w:ind w:left="229" w:leftChars="104" w:firstLine="210" w:firstLineChars="95"/>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第十一条 知识产权及商业秘密保护</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1.甲、乙、丙三方均不得利用履行本合同所形成的便利条件，侵害各方的知识产权，该知识产权具体包括但不限于制药方法的专利权、专有技术，商标权以及企业名称权等。</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2.甲、乙、丙三方应恪守商业秘密保护的责任，未经对方事前书面同意，不得擅自使用或对外披露对方的商业秘密。</w:t>
      </w:r>
    </w:p>
    <w:p>
      <w:pPr>
        <w:spacing w:line="360" w:lineRule="auto"/>
        <w:ind w:firstLine="440" w:firstLineChars="200"/>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3.乙方应保证中选药品不存在专利权、商标权等知识产权方面的争议，如与第三方产生争议，甲方有权解除本协议、终止对乙方药品的采购且不承担违约责任，乙方自行处理和承担责任。</w:t>
      </w:r>
    </w:p>
    <w:p>
      <w:pPr>
        <w:spacing w:line="360" w:lineRule="auto"/>
        <w:ind w:firstLine="440" w:firstLineChars="200"/>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如因乙方产品侵犯第三方权利导致甲方因此而遭致损失的，乙方应全额赔偿甲方的损失。</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p>
    <w:p>
      <w:pPr>
        <w:spacing w:line="360" w:lineRule="auto"/>
        <w:ind w:firstLine="442"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第十二条 违约责任</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1.甲方如出现下列行为，应按照《中华人民共和国合同法》的规定承担违约责任:</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（1）甲方违反本合同约定，无正当理由拒绝接收丙方配送的药品；</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（2）甲方违反本合同约定，在合同有效期内无故未完成约定采购量；</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（3）甲方未按照本合同约定按时结算货款；</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（4）其他违反本合同约定的行为。</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2.乙方如出现下列行为，应按照《中华人民共和国合同法》的规定承担违约责任：</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（1）所供选药品不符合本合同约定的质量标准；</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（2）未按照本合同约定及时进行退换货。</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3.丙方如出现下列行为，应按照《中华人民共和国合同法》的规定承担违约责任，且乙、丙双方互为连带责任：</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（1）违反本合同约定，不及时、不足量或拒绝供货；</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（2）运输不善或配送迟延等原因，导致中选药品在配送过程中发生损坏或变质；</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（3）其他违反本合同约定的行为。</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val="en-US"/>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.任何一方违反本合同导致本合同无法继续履行的，违约方应赔偿违约行为对守约方造成的所有实际损失。</w:t>
      </w:r>
      <w:r>
        <w:rPr>
          <w:rFonts w:ascii="Times New Roman" w:hAnsi="Times New Roman" w:cs="Times New Roman"/>
          <w:color w:val="000000" w:themeColor="text1"/>
          <w:highlight w:val="none"/>
          <w:lang w:val="en-US"/>
          <w14:textFill>
            <w14:solidFill>
              <w14:schemeClr w14:val="tx1"/>
            </w14:solidFill>
          </w14:textFill>
        </w:rPr>
        <w:t>当</w:t>
      </w:r>
      <w:r>
        <w:rPr>
          <w:rFonts w:ascii="Times New Roman" w:hAnsi="Times New Roman" w:cs="Times New Roman"/>
          <w:color w:val="000000" w:themeColor="text1"/>
          <w:highlight w:val="none"/>
          <w14:textFill>
            <w14:solidFill>
              <w14:schemeClr w14:val="tx1"/>
            </w14:solidFill>
          </w14:textFill>
        </w:rPr>
        <w:t>出现货款逾期支付或退还货款逾期的情形时，违约方应向守约方支付逾期付款违约金：</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lang w:val="en-US"/>
          <w14:textFill>
            <w14:solidFill>
              <w14:schemeClr w14:val="tx1"/>
            </w14:solidFill>
          </w14:textFill>
        </w:rPr>
        <w:t>1</w:t>
      </w:r>
      <w:r>
        <w:rPr>
          <w:rFonts w:ascii="Times New Roman" w:hAnsi="Times New Roman" w:cs="Times New Roman"/>
          <w:color w:val="000000" w:themeColor="text1"/>
          <w:highlight w:val="none"/>
          <w14:textFill>
            <w14:solidFill>
              <w14:schemeClr w14:val="tx1"/>
            </w14:solidFill>
          </w14:textFill>
        </w:rPr>
        <w:t>）逾期在10日（含）以内的，每日应按未付款项的0.1‰向守约方支付违约金；</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lang w:val="en-US"/>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）逾期在10日以上30日（含）以内的，每日应按未付款项的0.3‰向守约方支付违约金；</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lang w:val="en-US"/>
          <w14:textFill>
            <w14:solidFill>
              <w14:schemeClr w14:val="tx1"/>
            </w14:solidFill>
          </w14:textFill>
        </w:rPr>
        <w:t>3</w:t>
      </w:r>
      <w:r>
        <w:rPr>
          <w:rFonts w:ascii="Times New Roman" w:hAnsi="Times New Roman" w:cs="Times New Roman"/>
          <w:color w:val="000000" w:themeColor="text1"/>
          <w:highlight w:val="none"/>
          <w14:textFill>
            <w14:solidFill>
              <w14:schemeClr w14:val="tx1"/>
            </w14:solidFill>
          </w14:textFill>
        </w:rPr>
        <w:t>）逾期超过30日的，每日应按未付款项的0.8‰向守约方支付违约金；</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highlight w:val="none"/>
          <w:lang w:val="en-US"/>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）违约金的支付并不免除或减轻违约方继续履行合同的义务。</w:t>
      </w:r>
    </w:p>
    <w:p>
      <w:pPr>
        <w:spacing w:line="360" w:lineRule="auto"/>
        <w:ind w:left="1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第十三条 不可抗力</w:t>
      </w:r>
    </w:p>
    <w:p>
      <w:pPr>
        <w:spacing w:line="360" w:lineRule="auto"/>
        <w:ind w:left="5"/>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lang w:val="en-US"/>
          <w14:textFill>
            <w14:solidFill>
              <w14:schemeClr w14:val="tx1"/>
            </w14:solidFill>
          </w14:textFill>
        </w:rPr>
        <w:t xml:space="preserve">    </w:t>
      </w:r>
      <w:r>
        <w:rPr>
          <w:rFonts w:ascii="Times New Roman" w:hAnsi="Times New Roman" w:cs="Times New Roman"/>
          <w:color w:val="000000" w:themeColor="text1"/>
          <w:highlight w:val="none"/>
          <w14:textFill>
            <w14:solidFill>
              <w14:schemeClr w14:val="tx1"/>
            </w14:solidFill>
          </w14:textFill>
        </w:rPr>
        <w:t>1. 在采购周期内，若国家和省有新规定的，从其规定。</w:t>
      </w:r>
    </w:p>
    <w:p>
      <w:pPr>
        <w:spacing w:line="360" w:lineRule="auto"/>
        <w:ind w:left="5"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2.甲、乙、丙三方因国家和省政策调整或不可抗力而导致合同实施延误或不能履行合同义务的，不应承担误期赔偿或终止合同的责任。</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3.本条所述的“不可抗力”系指合同各方无法控制、不可预见的事件，但不包括合同某一方的违约或疏忽。这些事件包括但不限于：战争、严重火灾、洪水、台风、地震及其他双方商定的事件。</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4.在国家和省政策调整或不可抗力事件发生后，合同一方应尽快以书面形式将国家和省政策调整或不可抗力的情况和原因通知其他方。除另行要求外，合同当事人应尽实际可能继续履行合同义务，以及寻求采取合理的方案履行不受国家和省政策调整或不可抗力影响的其他事项。国家和省政策调整或不可抗力事件影响消除后，合同当事人可通过协商在合理的时间内迖成进一步履行合同的协议。</w:t>
      </w:r>
    </w:p>
    <w:p>
      <w:pPr>
        <w:spacing w:line="360" w:lineRule="auto"/>
        <w:ind w:left="1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第十四条 合同的变更和解除</w:t>
      </w:r>
    </w:p>
    <w:p>
      <w:pPr>
        <w:spacing w:line="360" w:lineRule="auto"/>
        <w:ind w:right="304"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1.甲、乙、丙任何一方严重违约，造成本合同无法继续履行或不能实现合同目的，被违约的两方有权解除本合同的履行。</w:t>
      </w:r>
    </w:p>
    <w:p>
      <w:pPr>
        <w:spacing w:line="360" w:lineRule="auto"/>
        <w:ind w:right="304"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2.甲、乙、丙任何一方丧失必要的经营资质或产品代理资质，不能再从事药品生产或经营活动的；或严重资不抵债的；或无能力的/或承认其无能力清偿到期债务的，任一守约方有权解除本合同的履行。 </w:t>
      </w:r>
    </w:p>
    <w:p>
      <w:pPr>
        <w:spacing w:line="360" w:lineRule="auto"/>
        <w:ind w:right="304"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3.在国家和省政策调整或不可抗力发生的情况下，甲、乙、丙三方可根据情况变更或解除本合同的履行。 </w:t>
      </w:r>
    </w:p>
    <w:p>
      <w:pPr>
        <w:spacing w:line="360" w:lineRule="auto"/>
        <w:ind w:right="304"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4.合同变更和解除前约定履行但尚未履行的部分，除法律法规有明确规定不能继续履行的，甲、乙、丙三方应继续履行至结束。 </w:t>
      </w:r>
    </w:p>
    <w:p>
      <w:pPr>
        <w:spacing w:line="360" w:lineRule="auto"/>
        <w:ind w:left="1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第十五条 争议的解决</w:t>
      </w:r>
    </w:p>
    <w:p>
      <w:pPr>
        <w:spacing w:line="360" w:lineRule="auto"/>
        <w:ind w:left="5"/>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lang w:val="en-US"/>
          <w14:textFill>
            <w14:solidFill>
              <w14:schemeClr w14:val="tx1"/>
            </w14:solidFill>
          </w14:textFill>
        </w:rPr>
        <w:t xml:space="preserve">    </w:t>
      </w:r>
      <w:r>
        <w:rPr>
          <w:rFonts w:ascii="Times New Roman" w:hAnsi="Times New Roman" w:cs="Times New Roman"/>
          <w:color w:val="000000" w:themeColor="text1"/>
          <w:highlight w:val="none"/>
          <w14:textFill>
            <w14:solidFill>
              <w14:schemeClr w14:val="tx1"/>
            </w14:solidFill>
          </w14:textFill>
        </w:rPr>
        <w:t xml:space="preserve"> 1.在本合同履行过程中发生任何争议，甲、乙、丙三方应友好协商解决，协商不成的，三方同意将争议提交甲方所在地有管辖权的人民法院管辖。</w:t>
      </w:r>
    </w:p>
    <w:p>
      <w:pPr>
        <w:numPr>
          <w:ilvl w:val="255"/>
          <w:numId w:val="0"/>
        </w:numPr>
        <w:spacing w:line="360" w:lineRule="auto"/>
        <w:ind w:left="5" w:hanging="1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lang w:val="en-US"/>
          <w14:textFill>
            <w14:solidFill>
              <w14:schemeClr w14:val="tx1"/>
            </w14:solidFill>
          </w14:textFill>
        </w:rPr>
        <w:t xml:space="preserve">    </w:t>
      </w:r>
      <w:r>
        <w:rPr>
          <w:rFonts w:ascii="Times New Roman" w:hAnsi="Times New Roman" w:cs="Times New Roman"/>
          <w:color w:val="000000" w:themeColor="text1"/>
          <w:highlight w:val="none"/>
          <w14:textFill>
            <w14:solidFill>
              <w14:schemeClr w14:val="tx1"/>
            </w14:solidFill>
          </w14:textFill>
        </w:rPr>
        <w:t>2.本合同适用中华人民共和国法律法规。</w:t>
      </w:r>
    </w:p>
    <w:p>
      <w:pPr>
        <w:spacing w:line="360" w:lineRule="auto"/>
        <w:ind w:left="1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第十六条 其他条款</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1.甲、乙、丙三方通过交易平台确认的订单为本合同的组成部分，具有同等法律效力。</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2.本合同未尽事项，甲、乙、丙三方应友好协商，经三方书面同意可以对合同条款进行补充或修改，根据需要可另行签订补充协议作为本合同的附件，附件具有同等的法律效力。</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3.本合同于</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14:textFill>
            <w14:solidFill>
              <w14:schemeClr w14:val="tx1"/>
            </w14:solidFill>
          </w14:textFill>
        </w:rPr>
        <w:t>（省/广州/深圳）平台签署，自甲方通过该交易平台创建发送合同，且乙方、丙方均通过该交易平台确认同意之日起成立并生效。</w:t>
      </w:r>
    </w:p>
    <w:p>
      <w:pPr>
        <w:spacing w:line="360" w:lineRule="auto"/>
        <w:rPr>
          <w:rFonts w:ascii="Times New Roman" w:hAnsi="Times New Roman" w:cs="Times New Roman"/>
          <w:color w:val="000000" w:themeColor="text1"/>
          <w:highlight w:val="none"/>
          <w14:textFill>
            <w14:solidFill>
              <w14:schemeClr w14:val="tx1"/>
            </w14:solidFill>
          </w14:textFill>
        </w:rPr>
      </w:pPr>
    </w:p>
    <w:p>
      <w:pPr>
        <w:numPr>
          <w:ilvl w:val="255"/>
          <w:numId w:val="0"/>
        </w:numPr>
        <w:spacing w:line="360" w:lineRule="auto"/>
        <w:ind w:left="10" w:firstLine="442" w:firstLineChars="200"/>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第十七条 特别约定</w:t>
      </w:r>
    </w:p>
    <w:p>
      <w:pPr>
        <w:numPr>
          <w:ilvl w:val="255"/>
          <w:numId w:val="0"/>
        </w:numPr>
        <w:spacing w:line="360" w:lineRule="auto"/>
        <w:ind w:left="10" w:firstLine="440" w:firstLineChars="200"/>
        <w:rPr>
          <w:rFonts w:ascii="Times New Roman" w:hAnsi="Times New Roman" w:cs="Times New Roman"/>
          <w:bCs/>
          <w:color w:val="000000" w:themeColor="text1"/>
          <w:highlight w:val="none"/>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1</w:t>
      </w:r>
      <w:r>
        <w:rPr>
          <w:rFonts w:hint="eastAsia" w:ascii="Times New Roman" w:hAnsi="Times New Roman" w:cs="Times New Roman"/>
          <w:bCs/>
          <w:color w:val="000000" w:themeColor="text1"/>
          <w:highlight w:val="none"/>
          <w:lang w:val="en-US"/>
          <w14:textFill>
            <w14:solidFill>
              <w14:schemeClr w14:val="tx1"/>
            </w14:solidFill>
          </w14:textFill>
        </w:rPr>
        <w:t>.</w:t>
      </w:r>
      <w:r>
        <w:rPr>
          <w:rFonts w:ascii="Times New Roman" w:hAnsi="Times New Roman" w:cs="Times New Roman"/>
          <w:bCs/>
          <w:color w:val="000000" w:themeColor="text1"/>
          <w:highlight w:val="none"/>
          <w14:textFill>
            <w14:solidFill>
              <w14:schemeClr w14:val="tx1"/>
            </w14:solidFill>
          </w14:textFill>
        </w:rPr>
        <w:t>《</w:t>
      </w:r>
      <w:r>
        <w:rPr>
          <w:rFonts w:hint="eastAsia" w:ascii="Times New Roman" w:hAnsi="Times New Roman" w:cs="Times New Roman"/>
          <w:bCs/>
          <w:color w:val="000000" w:themeColor="text1"/>
          <w:highlight w:val="none"/>
          <w:lang w:eastAsia="zh-CN"/>
          <w14:textFill>
            <w14:solidFill>
              <w14:schemeClr w14:val="tx1"/>
            </w14:solidFill>
          </w14:textFill>
        </w:rPr>
        <w:t>广东联盟清开灵等58个药品集团带量采购文件</w:t>
      </w:r>
      <w:r>
        <w:rPr>
          <w:rFonts w:ascii="Times New Roman" w:hAnsi="Times New Roman" w:cs="Times New Roman"/>
          <w:bCs/>
          <w:color w:val="000000" w:themeColor="text1"/>
          <w:highlight w:val="none"/>
          <w14:textFill>
            <w14:solidFill>
              <w14:schemeClr w14:val="tx1"/>
            </w14:solidFill>
          </w14:textFill>
        </w:rPr>
        <w:t>》（采购文件编号：</w:t>
      </w:r>
      <w:r>
        <w:rPr>
          <w:rFonts w:ascii="Times New Roman" w:hAnsi="Times New Roman" w:cs="Times New Roman"/>
          <w:color w:val="000000" w:themeColor="text1"/>
          <w:highlight w:val="none"/>
          <w14:textFill>
            <w14:solidFill>
              <w14:schemeClr w14:val="tx1"/>
            </w14:solidFill>
          </w14:textFill>
        </w:rPr>
        <w:t>GDYJYPDL20210</w:t>
      </w:r>
      <w:r>
        <w:rPr>
          <w:rFonts w:hint="eastAsia" w:ascii="Times New Roman" w:hAnsi="Times New Roman" w:cs="Times New Roman"/>
          <w:color w:val="000000" w:themeColor="text1"/>
          <w:highlight w:val="none"/>
          <w:lang w:val="en-US"/>
          <w14:textFill>
            <w14:solidFill>
              <w14:schemeClr w14:val="tx1"/>
            </w14:solidFill>
          </w14:textFill>
        </w:rPr>
        <w:t>3</w:t>
      </w:r>
      <w:r>
        <w:rPr>
          <w:rFonts w:ascii="Times New Roman" w:hAnsi="Times New Roman" w:cs="Times New Roman"/>
          <w:bCs/>
          <w:color w:val="000000" w:themeColor="text1"/>
          <w:highlight w:val="none"/>
          <w14:textFill>
            <w14:solidFill>
              <w14:schemeClr w14:val="tx1"/>
            </w14:solidFill>
          </w14:textFill>
        </w:rPr>
        <w:t>）、乙方的申报材料（含《医药企业价格和营销行为信用承诺</w:t>
      </w:r>
      <w:r>
        <w:rPr>
          <w:rFonts w:hint="eastAsia" w:ascii="Times New Roman" w:hAnsi="Times New Roman" w:cs="Times New Roman"/>
          <w:bCs/>
          <w:color w:val="000000" w:themeColor="text1"/>
          <w:highlight w:val="none"/>
          <w14:textFill>
            <w14:solidFill>
              <w14:schemeClr w14:val="tx1"/>
            </w14:solidFill>
          </w14:textFill>
        </w:rPr>
        <w:t>书</w:t>
      </w:r>
      <w:r>
        <w:rPr>
          <w:rFonts w:ascii="Times New Roman" w:hAnsi="Times New Roman" w:cs="Times New Roman"/>
          <w:bCs/>
          <w:color w:val="000000" w:themeColor="text1"/>
          <w:highlight w:val="none"/>
          <w14:textFill>
            <w14:solidFill>
              <w14:schemeClr w14:val="tx1"/>
            </w14:solidFill>
          </w14:textFill>
        </w:rPr>
        <w:t>》）为本合同的有效组成部分，本合同各方应遵照执行。</w:t>
      </w:r>
    </w:p>
    <w:p>
      <w:pPr>
        <w:numPr>
          <w:ilvl w:val="255"/>
          <w:numId w:val="0"/>
        </w:numPr>
        <w:spacing w:line="360" w:lineRule="auto"/>
        <w:ind w:left="10" w:firstLine="440" w:firstLineChars="200"/>
        <w:rPr>
          <w:rFonts w:ascii="Times New Roman" w:hAnsi="Times New Roman" w:cs="Times New Roman"/>
          <w:bCs/>
          <w:color w:val="000000" w:themeColor="text1"/>
          <w:highlight w:val="none"/>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2</w:t>
      </w:r>
      <w:r>
        <w:rPr>
          <w:rFonts w:ascii="Times New Roman" w:hAnsi="Times New Roman" w:cs="Times New Roman"/>
          <w:bCs/>
          <w:color w:val="000000" w:themeColor="text1"/>
          <w:highlight w:val="none"/>
          <w14:textFill>
            <w14:solidFill>
              <w14:schemeClr w14:val="tx1"/>
            </w14:solidFill>
          </w14:textFill>
        </w:rPr>
        <w:t>.</w:t>
      </w:r>
      <w:r>
        <w:rPr>
          <w:rFonts w:ascii="Times New Roman" w:hAnsi="Times New Roman" w:cs="Times New Roman"/>
          <w:bCs/>
          <w:color w:val="000000" w:themeColor="text1"/>
          <w:highlight w:val="none"/>
          <w:lang w:val="en-US"/>
          <w14:textFill>
            <w14:solidFill>
              <w14:schemeClr w14:val="tx1"/>
            </w14:solidFill>
          </w14:textFill>
        </w:rPr>
        <w:t>乙</w:t>
      </w:r>
      <w:r>
        <w:rPr>
          <w:rFonts w:ascii="Times New Roman" w:hAnsi="Times New Roman" w:cs="Times New Roman"/>
          <w:bCs/>
          <w:color w:val="000000" w:themeColor="text1"/>
          <w:highlight w:val="none"/>
          <w14:textFill>
            <w14:solidFill>
              <w14:schemeClr w14:val="tx1"/>
            </w14:solidFill>
          </w14:textFill>
        </w:rPr>
        <w:t>方、</w:t>
      </w:r>
      <w:r>
        <w:rPr>
          <w:rFonts w:ascii="Times New Roman" w:hAnsi="Times New Roman" w:cs="Times New Roman"/>
          <w:bCs/>
          <w:color w:val="000000" w:themeColor="text1"/>
          <w:highlight w:val="none"/>
          <w:lang w:val="en-US"/>
          <w14:textFill>
            <w14:solidFill>
              <w14:schemeClr w14:val="tx1"/>
            </w14:solidFill>
          </w14:textFill>
        </w:rPr>
        <w:t>丙方</w:t>
      </w:r>
      <w:r>
        <w:rPr>
          <w:rFonts w:ascii="Times New Roman" w:hAnsi="Times New Roman" w:cs="Times New Roman"/>
          <w:bCs/>
          <w:color w:val="000000" w:themeColor="text1"/>
          <w:highlight w:val="none"/>
          <w14:textFill>
            <w14:solidFill>
              <w14:schemeClr w14:val="tx1"/>
            </w14:solidFill>
          </w14:textFill>
        </w:rPr>
        <w:t>如出现违反本合同约定的，自愿接受取消2年内参加省级</w:t>
      </w:r>
      <w:r>
        <w:rPr>
          <w:rFonts w:hint="eastAsia" w:ascii="Times New Roman" w:hAnsi="Times New Roman" w:cs="Times New Roman"/>
          <w:bCs/>
          <w:color w:val="000000" w:themeColor="text1"/>
          <w:highlight w:val="none"/>
          <w14:textFill>
            <w14:solidFill>
              <w14:schemeClr w14:val="tx1"/>
            </w14:solidFill>
          </w14:textFill>
        </w:rPr>
        <w:t>集团</w:t>
      </w:r>
      <w:r>
        <w:rPr>
          <w:rFonts w:ascii="Times New Roman" w:hAnsi="Times New Roman" w:cs="Times New Roman"/>
          <w:bCs/>
          <w:color w:val="000000" w:themeColor="text1"/>
          <w:highlight w:val="none"/>
          <w14:textFill>
            <w14:solidFill>
              <w14:schemeClr w14:val="tx1"/>
            </w14:solidFill>
          </w14:textFill>
        </w:rPr>
        <w:t>带量采购</w:t>
      </w:r>
      <w:r>
        <w:rPr>
          <w:rFonts w:ascii="Times New Roman" w:hAnsi="Times New Roman" w:cs="Times New Roman"/>
          <w:bCs/>
          <w:color w:val="000000" w:themeColor="text1"/>
          <w:highlight w:val="none"/>
          <w:lang w:val="en-US"/>
          <w14:textFill>
            <w14:solidFill>
              <w14:schemeClr w14:val="tx1"/>
            </w14:solidFill>
          </w14:textFill>
        </w:rPr>
        <w:t>的</w:t>
      </w:r>
      <w:r>
        <w:rPr>
          <w:rFonts w:ascii="Times New Roman" w:hAnsi="Times New Roman" w:cs="Times New Roman"/>
          <w:bCs/>
          <w:color w:val="000000" w:themeColor="text1"/>
          <w:highlight w:val="none"/>
          <w14:textFill>
            <w14:solidFill>
              <w14:schemeClr w14:val="tx1"/>
            </w14:solidFill>
          </w14:textFill>
        </w:rPr>
        <w:t>资格。</w:t>
      </w:r>
    </w:p>
    <w:p>
      <w:pPr>
        <w:numPr>
          <w:ilvl w:val="255"/>
          <w:numId w:val="0"/>
        </w:numPr>
        <w:spacing w:line="360" w:lineRule="auto"/>
        <w:ind w:left="10" w:firstLine="440" w:firstLineChars="200"/>
        <w:rPr>
          <w:rFonts w:ascii="Times New Roman" w:hAnsi="Times New Roman" w:cs="Times New Roman"/>
          <w:bCs/>
          <w:color w:val="000000" w:themeColor="text1"/>
          <w:highlight w:val="none"/>
          <w:lang w:val="en-US"/>
          <w14:textFill>
            <w14:solidFill>
              <w14:schemeClr w14:val="tx1"/>
            </w14:solidFill>
          </w14:textFill>
        </w:rPr>
      </w:pPr>
      <w:r>
        <w:rPr>
          <w:rFonts w:hint="eastAsia" w:ascii="Times New Roman" w:hAnsi="Times New Roman" w:cs="Times New Roman"/>
          <w:bCs/>
          <w:color w:val="000000" w:themeColor="text1"/>
          <w:highlight w:val="none"/>
          <w:lang w:val="en-US" w:eastAsia="zh-CN"/>
          <w14:textFill>
            <w14:solidFill>
              <w14:schemeClr w14:val="tx1"/>
            </w14:solidFill>
          </w14:textFill>
        </w:rPr>
        <w:t>3</w:t>
      </w:r>
      <w:r>
        <w:rPr>
          <w:rFonts w:ascii="Times New Roman" w:hAnsi="Times New Roman" w:cs="Times New Roman"/>
          <w:bCs/>
          <w:color w:val="000000" w:themeColor="text1"/>
          <w:highlight w:val="none"/>
          <w:lang w:val="en-US"/>
          <w14:textFill>
            <w14:solidFill>
              <w14:schemeClr w14:val="tx1"/>
            </w14:solidFill>
          </w14:textFill>
        </w:rPr>
        <w:t>.如乙方或丙方委托提供代理服务的法人和自然人，因涉及乙方药品的回扣等医药商业贿赂行为，乙方或丙方承诺承担失信违约责任。</w:t>
      </w:r>
    </w:p>
    <w:p>
      <w:pPr>
        <w:rPr>
          <w:rFonts w:ascii="Times New Roman" w:hAnsi="Times New Roman"/>
          <w:color w:val="000000" w:themeColor="text1"/>
          <w:highlight w:val="none"/>
          <w14:textFill>
            <w14:solidFill>
              <w14:schemeClr w14:val="tx1"/>
            </w14:solidFill>
          </w14:textFill>
        </w:rPr>
      </w:pPr>
      <w:r>
        <w:rPr>
          <w:rFonts w:ascii="Times New Roman" w:hAnsi="Times New Roman" w:cs="Times New Roman"/>
          <w:bCs/>
          <w:color w:val="000000" w:themeColor="text1"/>
          <w:highlight w:val="none"/>
          <w:lang w:val="en-US"/>
          <w14:textFill>
            <w14:solidFill>
              <w14:schemeClr w14:val="tx1"/>
            </w14:solidFill>
          </w14:textFill>
        </w:rPr>
        <w:br w:type="page"/>
      </w:r>
      <w:r>
        <w:rPr>
          <w:rFonts w:ascii="Times New Roman" w:hAnsi="Times New Roman" w:eastAsia="黑体" w:cs="Times New Roman"/>
          <w:color w:val="000000" w:themeColor="text1"/>
          <w:highlight w:val="none"/>
          <w14:textFill>
            <w14:solidFill>
              <w14:schemeClr w14:val="tx1"/>
            </w14:solidFill>
          </w14:textFill>
        </w:rPr>
        <w:t>附件</w:t>
      </w:r>
    </w:p>
    <w:p>
      <w:pPr>
        <w:ind w:left="5"/>
        <w:rPr>
          <w:rFonts w:ascii="Times New Roman" w:hAnsi="Times New Roman" w:cs="Times New Roman"/>
          <w:color w:val="000000" w:themeColor="text1"/>
          <w:highlight w:val="none"/>
          <w14:textFill>
            <w14:solidFill>
              <w14:schemeClr w14:val="tx1"/>
            </w14:solidFill>
          </w14:textFill>
        </w:rPr>
      </w:pPr>
    </w:p>
    <w:p>
      <w:pPr>
        <w:ind w:left="5"/>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中选药品采购明细表</w:t>
      </w:r>
    </w:p>
    <w:p>
      <w:pPr>
        <w:ind w:left="5"/>
        <w:jc w:val="center"/>
        <w:rPr>
          <w:rFonts w:ascii="Times New Roman" w:hAnsi="Times New Roman" w:cs="Times New Roman"/>
          <w:b/>
          <w:bCs/>
          <w:color w:val="000000" w:themeColor="text1"/>
          <w:highlight w:val="none"/>
          <w14:textFill>
            <w14:solidFill>
              <w14:schemeClr w14:val="tx1"/>
            </w14:solidFill>
          </w14:textFill>
        </w:rPr>
      </w:pPr>
    </w:p>
    <w:tbl>
      <w:tblPr>
        <w:tblStyle w:val="15"/>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25"/>
        <w:gridCol w:w="645"/>
        <w:gridCol w:w="570"/>
        <w:gridCol w:w="684"/>
        <w:gridCol w:w="675"/>
        <w:gridCol w:w="660"/>
        <w:gridCol w:w="900"/>
        <w:gridCol w:w="945"/>
        <w:gridCol w:w="1086"/>
        <w:gridCol w:w="93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vAlign w:val="center"/>
          </w:tcPr>
          <w:p>
            <w:pPr>
              <w:jc w:val="center"/>
              <w:rPr>
                <w:rFonts w:ascii="Times New Roman" w:hAnsi="Times New Roman" w:cs="Times New Roman"/>
                <w:color w:val="000000" w:themeColor="text1"/>
                <w:sz w:val="16"/>
                <w:szCs w:val="16"/>
                <w:highlight w:val="none"/>
                <w14:textFill>
                  <w14:solidFill>
                    <w14:schemeClr w14:val="tx1"/>
                  </w14:solidFill>
                </w14:textFill>
              </w:rPr>
            </w:pPr>
            <w:r>
              <w:rPr>
                <w:rFonts w:ascii="Times New Roman" w:hAnsi="Times New Roman" w:cs="Times New Roman"/>
                <w:color w:val="000000" w:themeColor="text1"/>
                <w:sz w:val="16"/>
                <w:szCs w:val="16"/>
                <w:highlight w:val="none"/>
                <w14:textFill>
                  <w14:solidFill>
                    <w14:schemeClr w14:val="tx1"/>
                  </w14:solidFill>
                </w14:textFill>
              </w:rPr>
              <w:t>产品名称</w:t>
            </w:r>
          </w:p>
        </w:tc>
        <w:tc>
          <w:tcPr>
            <w:tcW w:w="825" w:type="dxa"/>
            <w:vAlign w:val="center"/>
          </w:tcPr>
          <w:p>
            <w:pPr>
              <w:jc w:val="center"/>
              <w:rPr>
                <w:rFonts w:ascii="Times New Roman" w:hAnsi="Times New Roman" w:cs="Times New Roman"/>
                <w:color w:val="000000" w:themeColor="text1"/>
                <w:sz w:val="16"/>
                <w:szCs w:val="16"/>
                <w:highlight w:val="none"/>
                <w14:textFill>
                  <w14:solidFill>
                    <w14:schemeClr w14:val="tx1"/>
                  </w14:solidFill>
                </w14:textFill>
              </w:rPr>
            </w:pPr>
            <w:r>
              <w:rPr>
                <w:rFonts w:ascii="Times New Roman" w:hAnsi="Times New Roman" w:cs="Times New Roman"/>
                <w:color w:val="000000" w:themeColor="text1"/>
                <w:sz w:val="16"/>
                <w:szCs w:val="16"/>
                <w:highlight w:val="none"/>
                <w14:textFill>
                  <w14:solidFill>
                    <w14:schemeClr w14:val="tx1"/>
                  </w14:solidFill>
                </w14:textFill>
              </w:rPr>
              <w:t>商品名</w:t>
            </w:r>
          </w:p>
        </w:tc>
        <w:tc>
          <w:tcPr>
            <w:tcW w:w="645" w:type="dxa"/>
            <w:vAlign w:val="center"/>
          </w:tcPr>
          <w:p>
            <w:pPr>
              <w:jc w:val="center"/>
              <w:rPr>
                <w:rFonts w:ascii="Times New Roman" w:hAnsi="Times New Roman" w:cs="Times New Roman"/>
                <w:color w:val="000000" w:themeColor="text1"/>
                <w:sz w:val="16"/>
                <w:szCs w:val="16"/>
                <w:highlight w:val="none"/>
                <w14:textFill>
                  <w14:solidFill>
                    <w14:schemeClr w14:val="tx1"/>
                  </w14:solidFill>
                </w14:textFill>
              </w:rPr>
            </w:pPr>
            <w:r>
              <w:rPr>
                <w:rFonts w:ascii="Times New Roman" w:hAnsi="Times New Roman" w:cs="Times New Roman"/>
                <w:color w:val="000000" w:themeColor="text1"/>
                <w:sz w:val="16"/>
                <w:szCs w:val="16"/>
                <w:highlight w:val="none"/>
                <w14:textFill>
                  <w14:solidFill>
                    <w14:schemeClr w14:val="tx1"/>
                  </w14:solidFill>
                </w14:textFill>
              </w:rPr>
              <w:t>剂型</w:t>
            </w:r>
          </w:p>
        </w:tc>
        <w:tc>
          <w:tcPr>
            <w:tcW w:w="570" w:type="dxa"/>
            <w:vAlign w:val="center"/>
          </w:tcPr>
          <w:p>
            <w:pPr>
              <w:jc w:val="center"/>
              <w:rPr>
                <w:rFonts w:ascii="Times New Roman" w:hAnsi="Times New Roman" w:cs="Times New Roman"/>
                <w:color w:val="000000" w:themeColor="text1"/>
                <w:sz w:val="16"/>
                <w:szCs w:val="16"/>
                <w:highlight w:val="none"/>
                <w14:textFill>
                  <w14:solidFill>
                    <w14:schemeClr w14:val="tx1"/>
                  </w14:solidFill>
                </w14:textFill>
              </w:rPr>
            </w:pPr>
            <w:r>
              <w:rPr>
                <w:rFonts w:ascii="Times New Roman" w:hAnsi="Times New Roman" w:cs="Times New Roman"/>
                <w:color w:val="000000" w:themeColor="text1"/>
                <w:sz w:val="16"/>
                <w:szCs w:val="16"/>
                <w:highlight w:val="none"/>
                <w14:textFill>
                  <w14:solidFill>
                    <w14:schemeClr w14:val="tx1"/>
                  </w14:solidFill>
                </w14:textFill>
              </w:rPr>
              <w:t>规格</w:t>
            </w:r>
          </w:p>
        </w:tc>
        <w:tc>
          <w:tcPr>
            <w:tcW w:w="684" w:type="dxa"/>
            <w:vAlign w:val="center"/>
          </w:tcPr>
          <w:p>
            <w:pPr>
              <w:jc w:val="center"/>
              <w:rPr>
                <w:rFonts w:ascii="Times New Roman" w:hAnsi="Times New Roman" w:cs="Times New Roman"/>
                <w:color w:val="000000" w:themeColor="text1"/>
                <w:sz w:val="16"/>
                <w:szCs w:val="16"/>
                <w:highlight w:val="none"/>
                <w14:textFill>
                  <w14:solidFill>
                    <w14:schemeClr w14:val="tx1"/>
                  </w14:solidFill>
                </w14:textFill>
              </w:rPr>
            </w:pPr>
            <w:r>
              <w:rPr>
                <w:rFonts w:ascii="Times New Roman" w:hAnsi="Times New Roman" w:cs="Times New Roman"/>
                <w:color w:val="000000" w:themeColor="text1"/>
                <w:sz w:val="16"/>
                <w:szCs w:val="16"/>
                <w:highlight w:val="none"/>
                <w14:textFill>
                  <w14:solidFill>
                    <w14:schemeClr w14:val="tx1"/>
                  </w14:solidFill>
                </w14:textFill>
              </w:rPr>
              <w:t>包装规格</w:t>
            </w:r>
          </w:p>
        </w:tc>
        <w:tc>
          <w:tcPr>
            <w:tcW w:w="675" w:type="dxa"/>
            <w:vAlign w:val="center"/>
          </w:tcPr>
          <w:p>
            <w:pPr>
              <w:jc w:val="center"/>
              <w:rPr>
                <w:rFonts w:ascii="Times New Roman" w:hAnsi="Times New Roman" w:cs="Times New Roman"/>
                <w:color w:val="000000" w:themeColor="text1"/>
                <w:sz w:val="16"/>
                <w:szCs w:val="16"/>
                <w:highlight w:val="none"/>
                <w14:textFill>
                  <w14:solidFill>
                    <w14:schemeClr w14:val="tx1"/>
                  </w14:solidFill>
                </w14:textFill>
              </w:rPr>
            </w:pPr>
            <w:r>
              <w:rPr>
                <w:rFonts w:ascii="Times New Roman" w:hAnsi="Times New Roman" w:cs="Times New Roman"/>
                <w:color w:val="000000" w:themeColor="text1"/>
                <w:sz w:val="16"/>
                <w:szCs w:val="16"/>
                <w:highlight w:val="none"/>
                <w14:textFill>
                  <w14:solidFill>
                    <w14:schemeClr w14:val="tx1"/>
                  </w14:solidFill>
                </w14:textFill>
              </w:rPr>
              <w:t>规格属性</w:t>
            </w:r>
          </w:p>
        </w:tc>
        <w:tc>
          <w:tcPr>
            <w:tcW w:w="660" w:type="dxa"/>
            <w:vAlign w:val="center"/>
          </w:tcPr>
          <w:p>
            <w:pPr>
              <w:jc w:val="center"/>
              <w:rPr>
                <w:rFonts w:ascii="Times New Roman" w:hAnsi="Times New Roman" w:cs="Times New Roman"/>
                <w:color w:val="000000" w:themeColor="text1"/>
                <w:sz w:val="16"/>
                <w:szCs w:val="16"/>
                <w:highlight w:val="none"/>
                <w14:textFill>
                  <w14:solidFill>
                    <w14:schemeClr w14:val="tx1"/>
                  </w14:solidFill>
                </w14:textFill>
              </w:rPr>
            </w:pPr>
            <w:r>
              <w:rPr>
                <w:rFonts w:ascii="Times New Roman" w:hAnsi="Times New Roman" w:cs="Times New Roman"/>
                <w:color w:val="000000" w:themeColor="text1"/>
                <w:sz w:val="16"/>
                <w:szCs w:val="16"/>
                <w:highlight w:val="none"/>
                <w14:textFill>
                  <w14:solidFill>
                    <w14:schemeClr w14:val="tx1"/>
                  </w14:solidFill>
                </w14:textFill>
              </w:rPr>
              <w:t>包装材质</w:t>
            </w:r>
          </w:p>
        </w:tc>
        <w:tc>
          <w:tcPr>
            <w:tcW w:w="900" w:type="dxa"/>
            <w:vAlign w:val="center"/>
          </w:tcPr>
          <w:p>
            <w:pPr>
              <w:jc w:val="center"/>
              <w:rPr>
                <w:rFonts w:ascii="Times New Roman" w:hAnsi="Times New Roman" w:cs="Times New Roman"/>
                <w:color w:val="000000" w:themeColor="text1"/>
                <w:sz w:val="16"/>
                <w:szCs w:val="16"/>
                <w:highlight w:val="none"/>
                <w14:textFill>
                  <w14:solidFill>
                    <w14:schemeClr w14:val="tx1"/>
                  </w14:solidFill>
                </w14:textFill>
              </w:rPr>
            </w:pPr>
            <w:r>
              <w:rPr>
                <w:rFonts w:ascii="Times New Roman" w:hAnsi="Times New Roman" w:cs="Times New Roman"/>
                <w:color w:val="000000" w:themeColor="text1"/>
                <w:sz w:val="16"/>
                <w:szCs w:val="16"/>
                <w:highlight w:val="none"/>
                <w14:textFill>
                  <w14:solidFill>
                    <w14:schemeClr w14:val="tx1"/>
                  </w14:solidFill>
                </w14:textFill>
              </w:rPr>
              <w:t>生产企业</w:t>
            </w:r>
          </w:p>
        </w:tc>
        <w:tc>
          <w:tcPr>
            <w:tcW w:w="945" w:type="dxa"/>
            <w:vAlign w:val="center"/>
          </w:tcPr>
          <w:p>
            <w:pPr>
              <w:jc w:val="center"/>
              <w:rPr>
                <w:rFonts w:ascii="Times New Roman" w:hAnsi="Times New Roman" w:cs="Times New Roman"/>
                <w:color w:val="000000" w:themeColor="text1"/>
                <w:sz w:val="16"/>
                <w:szCs w:val="16"/>
                <w:highlight w:val="none"/>
                <w14:textFill>
                  <w14:solidFill>
                    <w14:schemeClr w14:val="tx1"/>
                  </w14:solidFill>
                </w14:textFill>
              </w:rPr>
            </w:pPr>
            <w:r>
              <w:rPr>
                <w:rFonts w:ascii="Times New Roman" w:hAnsi="Times New Roman" w:cs="Times New Roman"/>
                <w:color w:val="000000" w:themeColor="text1"/>
                <w:sz w:val="16"/>
                <w:szCs w:val="16"/>
                <w:highlight w:val="none"/>
                <w14:textFill>
                  <w14:solidFill>
                    <w14:schemeClr w14:val="tx1"/>
                  </w14:solidFill>
                </w14:textFill>
              </w:rPr>
              <w:t>中选价格（元）</w:t>
            </w:r>
          </w:p>
        </w:tc>
        <w:tc>
          <w:tcPr>
            <w:tcW w:w="1086" w:type="dxa"/>
            <w:vAlign w:val="center"/>
          </w:tcPr>
          <w:p>
            <w:pPr>
              <w:jc w:val="center"/>
              <w:rPr>
                <w:rFonts w:ascii="Times New Roman" w:hAnsi="Times New Roman" w:cs="Times New Roman"/>
                <w:color w:val="000000" w:themeColor="text1"/>
                <w:sz w:val="16"/>
                <w:szCs w:val="16"/>
                <w:highlight w:val="none"/>
                <w14:textFill>
                  <w14:solidFill>
                    <w14:schemeClr w14:val="tx1"/>
                  </w14:solidFill>
                </w14:textFill>
              </w:rPr>
            </w:pPr>
            <w:r>
              <w:rPr>
                <w:rFonts w:ascii="Times New Roman" w:hAnsi="Times New Roman" w:cs="Times New Roman"/>
                <w:color w:val="000000" w:themeColor="text1"/>
                <w:sz w:val="16"/>
                <w:szCs w:val="16"/>
                <w:highlight w:val="none"/>
                <w14:textFill>
                  <w14:solidFill>
                    <w14:schemeClr w14:val="tx1"/>
                  </w14:solidFill>
                </w14:textFill>
              </w:rPr>
              <w:t>约定采购量</w:t>
            </w:r>
          </w:p>
        </w:tc>
        <w:tc>
          <w:tcPr>
            <w:tcW w:w="930" w:type="dxa"/>
            <w:vAlign w:val="center"/>
          </w:tcPr>
          <w:p>
            <w:pPr>
              <w:jc w:val="center"/>
              <w:rPr>
                <w:rFonts w:ascii="Times New Roman" w:hAnsi="Times New Roman" w:cs="Times New Roman"/>
                <w:color w:val="000000" w:themeColor="text1"/>
                <w:sz w:val="16"/>
                <w:szCs w:val="16"/>
                <w:highlight w:val="none"/>
                <w14:textFill>
                  <w14:solidFill>
                    <w14:schemeClr w14:val="tx1"/>
                  </w14:solidFill>
                </w14:textFill>
              </w:rPr>
            </w:pPr>
            <w:r>
              <w:rPr>
                <w:rFonts w:ascii="Times New Roman" w:hAnsi="Times New Roman" w:cs="Times New Roman"/>
                <w:color w:val="000000" w:themeColor="text1"/>
                <w:sz w:val="16"/>
                <w:szCs w:val="16"/>
                <w:highlight w:val="none"/>
                <w14:textFill>
                  <w14:solidFill>
                    <w14:schemeClr w14:val="tx1"/>
                  </w14:solidFill>
                </w14:textFill>
              </w:rPr>
              <w:t>合计金额</w:t>
            </w:r>
          </w:p>
          <w:p>
            <w:pPr>
              <w:jc w:val="center"/>
              <w:rPr>
                <w:rFonts w:ascii="Times New Roman" w:hAnsi="Times New Roman" w:cs="Times New Roman"/>
                <w:color w:val="000000" w:themeColor="text1"/>
                <w:sz w:val="16"/>
                <w:szCs w:val="16"/>
                <w:highlight w:val="none"/>
                <w14:textFill>
                  <w14:solidFill>
                    <w14:schemeClr w14:val="tx1"/>
                  </w14:solidFill>
                </w14:textFill>
              </w:rPr>
            </w:pPr>
            <w:r>
              <w:rPr>
                <w:rFonts w:ascii="Times New Roman" w:hAnsi="Times New Roman" w:cs="Times New Roman"/>
                <w:color w:val="000000" w:themeColor="text1"/>
                <w:sz w:val="16"/>
                <w:szCs w:val="16"/>
                <w:highlight w:val="none"/>
                <w14:textFill>
                  <w14:solidFill>
                    <w14:schemeClr w14:val="tx1"/>
                  </w14:solidFill>
                </w14:textFill>
              </w:rPr>
              <w:t>（元）</w:t>
            </w:r>
          </w:p>
        </w:tc>
        <w:tc>
          <w:tcPr>
            <w:tcW w:w="870" w:type="dxa"/>
            <w:vAlign w:val="center"/>
          </w:tcPr>
          <w:p>
            <w:pPr>
              <w:jc w:val="center"/>
              <w:rPr>
                <w:rFonts w:ascii="Times New Roman" w:hAnsi="Times New Roman" w:cs="Times New Roman"/>
                <w:color w:val="000000" w:themeColor="text1"/>
                <w:sz w:val="16"/>
                <w:szCs w:val="16"/>
                <w:highlight w:val="none"/>
                <w14:textFill>
                  <w14:solidFill>
                    <w14:schemeClr w14:val="tx1"/>
                  </w14:solidFill>
                </w14:textFill>
              </w:rPr>
            </w:pPr>
            <w:r>
              <w:rPr>
                <w:rFonts w:ascii="Times New Roman" w:hAnsi="Times New Roman" w:cs="Times New Roman"/>
                <w:color w:val="000000" w:themeColor="text1"/>
                <w:sz w:val="16"/>
                <w:szCs w:val="16"/>
                <w:highlight w:val="none"/>
                <w14:textFill>
                  <w14:solidFill>
                    <w14:schemeClr w14:val="tx1"/>
                  </w14:solidFill>
                </w14:textFill>
              </w:rPr>
              <w:t>采购期限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 w:type="dxa"/>
          </w:tcPr>
          <w:p>
            <w:pPr>
              <w:rPr>
                <w:rFonts w:ascii="Times New Roman" w:hAnsi="Times New Roman" w:cs="Times New Roman"/>
                <w:color w:val="000000" w:themeColor="text1"/>
                <w:highlight w:val="none"/>
                <w14:textFill>
                  <w14:solidFill>
                    <w14:schemeClr w14:val="tx1"/>
                  </w14:solidFill>
                </w14:textFill>
              </w:rPr>
            </w:pPr>
          </w:p>
        </w:tc>
        <w:tc>
          <w:tcPr>
            <w:tcW w:w="825" w:type="dxa"/>
          </w:tcPr>
          <w:p>
            <w:pPr>
              <w:rPr>
                <w:rFonts w:ascii="Times New Roman" w:hAnsi="Times New Roman" w:cs="Times New Roman"/>
                <w:color w:val="000000" w:themeColor="text1"/>
                <w:highlight w:val="none"/>
                <w14:textFill>
                  <w14:solidFill>
                    <w14:schemeClr w14:val="tx1"/>
                  </w14:solidFill>
                </w14:textFill>
              </w:rPr>
            </w:pPr>
          </w:p>
        </w:tc>
        <w:tc>
          <w:tcPr>
            <w:tcW w:w="645" w:type="dxa"/>
          </w:tcPr>
          <w:p>
            <w:pPr>
              <w:rPr>
                <w:rFonts w:ascii="Times New Roman" w:hAnsi="Times New Roman" w:cs="Times New Roman"/>
                <w:color w:val="000000" w:themeColor="text1"/>
                <w:highlight w:val="none"/>
                <w14:textFill>
                  <w14:solidFill>
                    <w14:schemeClr w14:val="tx1"/>
                  </w14:solidFill>
                </w14:textFill>
              </w:rPr>
            </w:pPr>
          </w:p>
        </w:tc>
        <w:tc>
          <w:tcPr>
            <w:tcW w:w="570" w:type="dxa"/>
          </w:tcPr>
          <w:p>
            <w:pPr>
              <w:rPr>
                <w:rFonts w:ascii="Times New Roman" w:hAnsi="Times New Roman" w:cs="Times New Roman"/>
                <w:color w:val="000000" w:themeColor="text1"/>
                <w:highlight w:val="none"/>
                <w14:textFill>
                  <w14:solidFill>
                    <w14:schemeClr w14:val="tx1"/>
                  </w14:solidFill>
                </w14:textFill>
              </w:rPr>
            </w:pPr>
          </w:p>
        </w:tc>
        <w:tc>
          <w:tcPr>
            <w:tcW w:w="684" w:type="dxa"/>
          </w:tcPr>
          <w:p>
            <w:pPr>
              <w:rPr>
                <w:rFonts w:ascii="Times New Roman" w:hAnsi="Times New Roman" w:cs="Times New Roman"/>
                <w:color w:val="000000" w:themeColor="text1"/>
                <w:highlight w:val="none"/>
                <w14:textFill>
                  <w14:solidFill>
                    <w14:schemeClr w14:val="tx1"/>
                  </w14:solidFill>
                </w14:textFill>
              </w:rPr>
            </w:pPr>
          </w:p>
        </w:tc>
        <w:tc>
          <w:tcPr>
            <w:tcW w:w="675" w:type="dxa"/>
          </w:tcPr>
          <w:p>
            <w:pPr>
              <w:rPr>
                <w:rFonts w:ascii="Times New Roman" w:hAnsi="Times New Roman" w:cs="Times New Roman"/>
                <w:color w:val="000000" w:themeColor="text1"/>
                <w:highlight w:val="none"/>
                <w14:textFill>
                  <w14:solidFill>
                    <w14:schemeClr w14:val="tx1"/>
                  </w14:solidFill>
                </w14:textFill>
              </w:rPr>
            </w:pPr>
          </w:p>
        </w:tc>
        <w:tc>
          <w:tcPr>
            <w:tcW w:w="660" w:type="dxa"/>
          </w:tcPr>
          <w:p>
            <w:pPr>
              <w:rPr>
                <w:rFonts w:ascii="Times New Roman" w:hAnsi="Times New Roman" w:cs="Times New Roman"/>
                <w:color w:val="000000" w:themeColor="text1"/>
                <w:highlight w:val="none"/>
                <w14:textFill>
                  <w14:solidFill>
                    <w14:schemeClr w14:val="tx1"/>
                  </w14:solidFill>
                </w14:textFill>
              </w:rPr>
            </w:pPr>
          </w:p>
        </w:tc>
        <w:tc>
          <w:tcPr>
            <w:tcW w:w="900" w:type="dxa"/>
          </w:tcPr>
          <w:p>
            <w:pPr>
              <w:rPr>
                <w:rFonts w:ascii="Times New Roman" w:hAnsi="Times New Roman" w:cs="Times New Roman"/>
                <w:color w:val="000000" w:themeColor="text1"/>
                <w:highlight w:val="none"/>
                <w14:textFill>
                  <w14:solidFill>
                    <w14:schemeClr w14:val="tx1"/>
                  </w14:solidFill>
                </w14:textFill>
              </w:rPr>
            </w:pPr>
          </w:p>
        </w:tc>
        <w:tc>
          <w:tcPr>
            <w:tcW w:w="945" w:type="dxa"/>
          </w:tcPr>
          <w:p>
            <w:pPr>
              <w:rPr>
                <w:rFonts w:ascii="Times New Roman" w:hAnsi="Times New Roman" w:cs="Times New Roman"/>
                <w:color w:val="000000" w:themeColor="text1"/>
                <w:highlight w:val="none"/>
                <w14:textFill>
                  <w14:solidFill>
                    <w14:schemeClr w14:val="tx1"/>
                  </w14:solidFill>
                </w14:textFill>
              </w:rPr>
            </w:pPr>
          </w:p>
        </w:tc>
        <w:tc>
          <w:tcPr>
            <w:tcW w:w="1086" w:type="dxa"/>
          </w:tcPr>
          <w:p>
            <w:pPr>
              <w:rPr>
                <w:rFonts w:ascii="Times New Roman" w:hAnsi="Times New Roman" w:cs="Times New Roman"/>
                <w:color w:val="000000" w:themeColor="text1"/>
                <w:highlight w:val="none"/>
                <w14:textFill>
                  <w14:solidFill>
                    <w14:schemeClr w14:val="tx1"/>
                  </w14:solidFill>
                </w14:textFill>
              </w:rPr>
            </w:pPr>
          </w:p>
        </w:tc>
        <w:tc>
          <w:tcPr>
            <w:tcW w:w="930" w:type="dxa"/>
          </w:tcPr>
          <w:p>
            <w:pPr>
              <w:rPr>
                <w:rFonts w:ascii="Times New Roman" w:hAnsi="Times New Roman" w:cs="Times New Roman"/>
                <w:color w:val="000000" w:themeColor="text1"/>
                <w:highlight w:val="none"/>
                <w14:textFill>
                  <w14:solidFill>
                    <w14:schemeClr w14:val="tx1"/>
                  </w14:solidFill>
                </w14:textFill>
              </w:rPr>
            </w:pPr>
          </w:p>
        </w:tc>
        <w:tc>
          <w:tcPr>
            <w:tcW w:w="870" w:type="dxa"/>
          </w:tcPr>
          <w:p>
            <w:pPr>
              <w:rPr>
                <w:rFonts w:ascii="Times New Roman" w:hAnsi="Times New Roman" w:cs="Times New Roman"/>
                <w:color w:val="000000" w:themeColor="text1"/>
                <w:highlight w:val="none"/>
                <w14:textFill>
                  <w14:solidFill>
                    <w14:schemeClr w14:val="tx1"/>
                  </w14:solidFill>
                </w14:textFill>
              </w:rPr>
            </w:pPr>
          </w:p>
        </w:tc>
      </w:tr>
      <w:bookmarkEnd w:id="41"/>
      <w:bookmarkEnd w:id="42"/>
    </w:tbl>
    <w:p>
      <w:pPr>
        <w:rPr>
          <w:sz w:val="24"/>
          <w:szCs w:val="24"/>
          <w:highlight w:val="none"/>
          <w:lang w:val="en-US"/>
        </w:rPr>
      </w:pPr>
      <w:r>
        <w:rPr>
          <w:sz w:val="24"/>
          <w:szCs w:val="24"/>
          <w:highlight w:val="none"/>
          <w:lang w:val="en-US"/>
        </w:rPr>
        <w:br w:type="page"/>
      </w:r>
    </w:p>
    <w:p>
      <w:pPr>
        <w:rPr>
          <w:rFonts w:hint="eastAsia" w:ascii="Times New Roman" w:hAnsi="Times New Roman"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cs="Times New Roman"/>
          <w:color w:val="000000" w:themeColor="text1"/>
          <w:sz w:val="32"/>
          <w:szCs w:val="32"/>
          <w:highlight w:val="none"/>
          <w:lang w:val="en-US"/>
          <w14:textFill>
            <w14:solidFill>
              <w14:schemeClr w14:val="tx1"/>
            </w14:solidFill>
          </w14:textFill>
        </w:rPr>
        <w:t>附</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表1</w:t>
      </w:r>
    </w:p>
    <w:p>
      <w:pPr>
        <w:pStyle w:val="2"/>
        <w:rPr>
          <w:rFonts w:hint="eastAsia" w:ascii="Times New Roman" w:hAnsi="Times New Roman" w:cs="Times New Roman"/>
          <w:color w:val="000000" w:themeColor="text1"/>
          <w:sz w:val="32"/>
          <w:szCs w:val="32"/>
          <w:highlight w:val="none"/>
          <w:lang w:val="en-US" w:eastAsia="zh-CN"/>
          <w14:textFill>
            <w14:solidFill>
              <w14:schemeClr w14:val="tx1"/>
            </w14:solidFill>
          </w14:textFill>
        </w:rPr>
      </w:pPr>
    </w:p>
    <w:p>
      <w:pPr>
        <w:pStyle w:val="2"/>
        <w:jc w:val="center"/>
        <w:rPr>
          <w:rFonts w:hint="eastAsia" w:ascii="华文中宋" w:hAnsi="华文中宋" w:eastAsia="华文中宋" w:cs="华文中宋"/>
          <w:color w:val="auto"/>
          <w:sz w:val="44"/>
          <w:szCs w:val="44"/>
          <w:highlight w:val="none"/>
          <w:lang w:val="zh-CN" w:eastAsia="zh-CN" w:bidi="zh-CN"/>
        </w:rPr>
      </w:pPr>
      <w:r>
        <w:rPr>
          <w:rFonts w:hint="eastAsia" w:ascii="华文中宋" w:hAnsi="华文中宋" w:eastAsia="华文中宋" w:cs="华文中宋"/>
          <w:color w:val="auto"/>
          <w:sz w:val="44"/>
          <w:szCs w:val="44"/>
          <w:highlight w:val="none"/>
          <w:lang w:val="zh-CN" w:eastAsia="zh-CN" w:bidi="zh-CN"/>
        </w:rPr>
        <w:t>药品采购单分组及统一代表品规</w:t>
      </w:r>
    </w:p>
    <w:tbl>
      <w:tblPr>
        <w:tblStyle w:val="14"/>
        <w:tblW w:w="9810" w:type="dxa"/>
        <w:tblInd w:w="-23" w:type="dxa"/>
        <w:shd w:val="clear" w:color="auto" w:fill="auto"/>
        <w:tblLayout w:type="fixed"/>
        <w:tblCellMar>
          <w:top w:w="0" w:type="dxa"/>
          <w:left w:w="108" w:type="dxa"/>
          <w:bottom w:w="0" w:type="dxa"/>
          <w:right w:w="108" w:type="dxa"/>
        </w:tblCellMar>
      </w:tblPr>
      <w:tblGrid>
        <w:gridCol w:w="656"/>
        <w:gridCol w:w="561"/>
        <w:gridCol w:w="1110"/>
        <w:gridCol w:w="2000"/>
        <w:gridCol w:w="1170"/>
        <w:gridCol w:w="833"/>
        <w:gridCol w:w="1627"/>
        <w:gridCol w:w="829"/>
        <w:gridCol w:w="1024"/>
      </w:tblGrid>
      <w:tr>
        <w:tblPrEx>
          <w:shd w:val="clear" w:color="auto" w:fill="auto"/>
          <w:tblCellMar>
            <w:top w:w="0" w:type="dxa"/>
            <w:left w:w="108" w:type="dxa"/>
            <w:bottom w:w="0" w:type="dxa"/>
            <w:right w:w="108" w:type="dxa"/>
          </w:tblCellMar>
        </w:tblPrEx>
        <w:trPr>
          <w:trHeight w:val="340" w:hRule="atLeast"/>
          <w:tblHead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品种序号</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组别</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通用名</w:t>
            </w:r>
          </w:p>
        </w:tc>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品种名称</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剂型</w:t>
            </w:r>
          </w:p>
        </w:tc>
        <w:tc>
          <w:tcPr>
            <w:tcW w:w="43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统一代表品</w:t>
            </w:r>
          </w:p>
        </w:tc>
      </w:tr>
      <w:tr>
        <w:tblPrEx>
          <w:tblCellMar>
            <w:top w:w="0" w:type="dxa"/>
            <w:left w:w="108" w:type="dxa"/>
            <w:bottom w:w="0" w:type="dxa"/>
            <w:right w:w="108" w:type="dxa"/>
          </w:tblCellMar>
        </w:tblPrEx>
        <w:trPr>
          <w:trHeight w:val="677" w:hRule="atLeast"/>
          <w:tblHead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highlight w:val="none"/>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highlight w:val="none"/>
                <w:u w:val="none"/>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highlight w:val="none"/>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b/>
                <w:bCs/>
                <w:i w:val="0"/>
                <w:iCs w:val="0"/>
                <w:color w:val="000000"/>
                <w:sz w:val="20"/>
                <w:szCs w:val="20"/>
                <w:highlight w:val="none"/>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代表剂型</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用法用量/规格</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日均用量</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0"/>
                <w:szCs w:val="20"/>
                <w:highlight w:val="none"/>
                <w:u w:val="none"/>
              </w:rPr>
            </w:pPr>
            <w:r>
              <w:rPr>
                <w:rFonts w:hint="eastAsia" w:ascii="等线" w:hAnsi="等线" w:eastAsia="等线" w:cs="等线"/>
                <w:b/>
                <w:bCs/>
                <w:i w:val="0"/>
                <w:iCs w:val="0"/>
                <w:color w:val="000000"/>
                <w:kern w:val="0"/>
                <w:sz w:val="20"/>
                <w:szCs w:val="20"/>
                <w:highlight w:val="none"/>
                <w:u w:val="none"/>
                <w:lang w:val="en-US" w:eastAsia="zh-CN" w:bidi="ar"/>
              </w:rPr>
              <w:t>日均用量单位</w:t>
            </w:r>
          </w:p>
        </w:tc>
      </w:tr>
      <w:tr>
        <w:tblPrEx>
          <w:tblCellMar>
            <w:top w:w="0" w:type="dxa"/>
            <w:left w:w="108" w:type="dxa"/>
            <w:bottom w:w="0" w:type="dxa"/>
            <w:right w:w="108" w:type="dxa"/>
          </w:tblCellMar>
        </w:tblPrEx>
        <w:trPr>
          <w:trHeight w:val="78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清开灵</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清开灵片、清开灵胶囊、清开灵软胶囊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片剂/胶囊剂/软胶囊</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一次2～4粒，一日3次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5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清开灵</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清开灵颗粒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一次2～4粒，一日3次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清开灵</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清开灵注射液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52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金莲花</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金莲花片、金莲花胶囊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片剂/胶囊剂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一次4粒，一日2～3次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5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金莲花</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金莲花颗粒、金莲花口服液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颗粒剂/口服液</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一次4粒，一日2～3次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5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金莲花</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金莲花软胶囊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软胶囊</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一次4粒，一日2～3次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7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抗病毒</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抗病毒口服液、抗病毒胶囊、抗病毒颗粒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口服液/胶囊剂/颗粒剂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合剂（含口服液）</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蓝芩</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蓝芩颗粒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8g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袋</w:t>
            </w:r>
          </w:p>
        </w:tc>
      </w:tr>
      <w:tr>
        <w:tblPrEx>
          <w:tblCellMar>
            <w:top w:w="0" w:type="dxa"/>
            <w:left w:w="108" w:type="dxa"/>
            <w:bottom w:w="0" w:type="dxa"/>
            <w:right w:w="108" w:type="dxa"/>
          </w:tblCellMar>
        </w:tblPrEx>
        <w:trPr>
          <w:trHeight w:val="52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橘红痰咳</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橘红痰咳颗粒、橘红痰咳液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合剂（含口服液）/颗粒剂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合剂（含口服液）</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橘红痰咳</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橘红痰咳煎膏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煎膏剂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煎膏剂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100g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g</w:t>
            </w:r>
          </w:p>
        </w:tc>
      </w:tr>
      <w:tr>
        <w:tblPrEx>
          <w:tblCellMar>
            <w:top w:w="0" w:type="dxa"/>
            <w:left w:w="108" w:type="dxa"/>
            <w:bottom w:w="0" w:type="dxa"/>
            <w:right w:w="108" w:type="dxa"/>
          </w:tblCellMar>
        </w:tblPrEx>
        <w:trPr>
          <w:trHeight w:val="10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小儿咳喘灵</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小儿咳喘灵颗粒、小儿咳喘灵口服液、小儿咳喘灵合剂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颗粒剂/合剂（含口服液）</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7</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g</w:t>
            </w:r>
          </w:p>
        </w:tc>
      </w:tr>
      <w:tr>
        <w:tblPrEx>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7</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小儿肺咳</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小儿肺咳颗粒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18</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g</w:t>
            </w:r>
          </w:p>
        </w:tc>
      </w:tr>
      <w:tr>
        <w:tblPrEx>
          <w:tblCellMar>
            <w:top w:w="0" w:type="dxa"/>
            <w:left w:w="108" w:type="dxa"/>
            <w:bottom w:w="0" w:type="dxa"/>
            <w:right w:w="108" w:type="dxa"/>
          </w:tblCellMar>
        </w:tblPrEx>
        <w:trPr>
          <w:trHeight w:val="45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8</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醒脑静</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醒脑静注射液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生血宝</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生血宝颗粒、生血宝合剂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颗粒剂/合剂（含口服液）</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合剂（含口服液）</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百令/金水宝</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百令片、金水宝片、金水宝胶囊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片剂/胶囊剂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一次3粒，一日3次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52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11</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0"/>
                <w:szCs w:val="20"/>
                <w:highlight w:val="none"/>
                <w:u w:val="none"/>
                <w:lang w:val="en-US"/>
              </w:rPr>
            </w:pPr>
            <w:r>
              <w:rPr>
                <w:rFonts w:hint="eastAsia" w:ascii="等线" w:hAnsi="等线" w:eastAsia="等线" w:cs="等线"/>
                <w:i w:val="0"/>
                <w:iCs w:val="0"/>
                <w:color w:val="000000"/>
                <w:kern w:val="0"/>
                <w:sz w:val="20"/>
                <w:szCs w:val="20"/>
                <w:highlight w:val="none"/>
                <w:u w:val="none"/>
                <w:lang w:val="en-US" w:eastAsia="zh-CN" w:bidi="ar"/>
              </w:rPr>
              <w:t>生脉(人参、红参方)/益气复脉</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生脉胶囊、益气复脉胶囊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一次3粒，一日3次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5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生脉(人参、红参方)</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生脉饮、生脉饮(人参方)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合剂（含口服液）</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一次3粒，一日3次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5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生脉(人参、红参方)</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生脉注射液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13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生脉(党参方)</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生脉饮(党参方)、生脉饮、生脉颗粒(党参方)、生脉颗粒、生脉片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合剂（含口服液）/颗粒剂/片剂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合剂（含口服液）</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一次10ml(1支)，一日3次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支</w:t>
            </w:r>
          </w:p>
        </w:tc>
      </w:tr>
      <w:tr>
        <w:tblPrEx>
          <w:tblCellMar>
            <w:top w:w="0" w:type="dxa"/>
            <w:left w:w="108" w:type="dxa"/>
            <w:bottom w:w="0" w:type="dxa"/>
            <w:right w:w="108" w:type="dxa"/>
          </w:tblCellMar>
        </w:tblPrEx>
        <w:trPr>
          <w:trHeight w:val="7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裸花紫珠</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裸花紫珠片、裸花紫珠胶囊、裸花紫珠颗粒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片剂/胶囊剂/颗粒剂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薄膜衣片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一次2片，一日3次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w:t>
            </w:r>
          </w:p>
        </w:tc>
      </w:tr>
      <w:tr>
        <w:tblPrEx>
          <w:tblCellMar>
            <w:top w:w="0" w:type="dxa"/>
            <w:left w:w="108" w:type="dxa"/>
            <w:bottom w:w="0" w:type="dxa"/>
            <w:right w:w="108" w:type="dxa"/>
          </w:tblCellMar>
        </w:tblPrEx>
        <w:trPr>
          <w:trHeight w:val="52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13</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复方丹参</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复方丹参片、复方丹参胶囊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片剂/胶囊剂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糖衣片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一次3片，一日3次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复方丹参</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复方丹参颗粒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糖衣片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一次3片，一日3次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w:t>
            </w:r>
          </w:p>
        </w:tc>
      </w:tr>
      <w:tr>
        <w:tblPrEx>
          <w:tblCellMar>
            <w:top w:w="0" w:type="dxa"/>
            <w:left w:w="108" w:type="dxa"/>
            <w:bottom w:w="0" w:type="dxa"/>
            <w:right w:w="108" w:type="dxa"/>
          </w:tblCellMar>
        </w:tblPrEx>
        <w:trPr>
          <w:trHeight w:val="5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复方丹参</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复方丹参丸</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丸剂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浓缩丸</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一次0.7g（1袋），一日3次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袋</w:t>
            </w:r>
          </w:p>
        </w:tc>
      </w:tr>
      <w:tr>
        <w:tblPrEx>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14</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脑心清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脑心清片、脑心清胶囊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片剂/胶囊剂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薄膜衣片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一次2～4片，一日3次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w:t>
            </w:r>
          </w:p>
        </w:tc>
      </w:tr>
      <w:tr>
        <w:tblPrEx>
          <w:tblCellMar>
            <w:top w:w="0" w:type="dxa"/>
            <w:left w:w="108" w:type="dxa"/>
            <w:bottom w:w="0" w:type="dxa"/>
            <w:right w:w="108" w:type="dxa"/>
          </w:tblCellMar>
        </w:tblPrEx>
        <w:trPr>
          <w:trHeight w:val="52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血塞通</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血塞通滴丸、血塞通软胶囊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滴丸/软胶囊</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r>
      <w:tr>
        <w:tblPrEx>
          <w:tblCellMar>
            <w:top w:w="0" w:type="dxa"/>
            <w:left w:w="108" w:type="dxa"/>
            <w:bottom w:w="0" w:type="dxa"/>
            <w:right w:w="108" w:type="dxa"/>
          </w:tblCellMar>
        </w:tblPrEx>
        <w:trPr>
          <w:trHeight w:val="5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血塞通</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血塞通颗粒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一次100mg(1粒)，一日3次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mg</w:t>
            </w:r>
          </w:p>
        </w:tc>
      </w:tr>
      <w:tr>
        <w:tblPrEx>
          <w:tblCellMar>
            <w:top w:w="0" w:type="dxa"/>
            <w:left w:w="108" w:type="dxa"/>
            <w:bottom w:w="0" w:type="dxa"/>
            <w:right w:w="108" w:type="dxa"/>
          </w:tblCellMar>
        </w:tblPrEx>
        <w:trPr>
          <w:trHeight w:val="10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血塞通/血栓通</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血塞通片、血塞通分散片、血塞通胶囊、血栓通胶囊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片剂/分散片/胶囊剂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一次100mg(1粒)，一日3次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mg</w:t>
            </w:r>
          </w:p>
        </w:tc>
      </w:tr>
      <w:tr>
        <w:tblPrEx>
          <w:tblCellMar>
            <w:top w:w="0" w:type="dxa"/>
            <w:left w:w="108" w:type="dxa"/>
            <w:bottom w:w="0" w:type="dxa"/>
            <w:right w:w="108" w:type="dxa"/>
          </w:tblCellMar>
        </w:tblPrEx>
        <w:trPr>
          <w:trHeight w:val="10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血塞通/血栓通</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注射用血塞通、血塞通注射液、注射用血栓通、血栓通注射液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0.15g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225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mg</w:t>
            </w:r>
          </w:p>
        </w:tc>
      </w:tr>
      <w:tr>
        <w:tblPrEx>
          <w:tblCellMar>
            <w:top w:w="0" w:type="dxa"/>
            <w:left w:w="108" w:type="dxa"/>
            <w:bottom w:w="0" w:type="dxa"/>
            <w:right w:w="108" w:type="dxa"/>
          </w:tblCellMar>
        </w:tblPrEx>
        <w:trPr>
          <w:trHeight w:val="5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16</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脉血康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脉血康胶囊、脉血康肠溶片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胶囊剂/肠溶片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一次2～4粒，一日3次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78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17</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银杏叶/银杏酮酯</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银杏酮酯滴丸、银杏叶滴丸、银杏叶软胶囊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滴丸/软胶囊</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lang w:val="en-US" w:eastAsia="zh-CN"/>
              </w:rPr>
            </w:pPr>
            <w:r>
              <w:rPr>
                <w:rFonts w:hint="eastAsia" w:ascii="等线" w:hAnsi="等线" w:eastAsia="等线" w:cs="等线"/>
                <w:i w:val="0"/>
                <w:iCs w:val="0"/>
                <w:color w:val="000000"/>
                <w:sz w:val="20"/>
                <w:szCs w:val="20"/>
                <w:highlight w:val="none"/>
                <w:u w:val="none"/>
                <w:lang w:val="en-US" w:eastAsia="zh-CN"/>
              </w:rPr>
              <w:t>-</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lang w:val="en-US" w:eastAsia="zh-CN"/>
              </w:rPr>
            </w:pPr>
            <w:r>
              <w:rPr>
                <w:rFonts w:hint="eastAsia" w:ascii="等线" w:hAnsi="等线" w:eastAsia="等线" w:cs="等线"/>
                <w:i w:val="0"/>
                <w:iCs w:val="0"/>
                <w:color w:val="000000"/>
                <w:sz w:val="20"/>
                <w:szCs w:val="20"/>
                <w:highlight w:val="none"/>
                <w:u w:val="none"/>
                <w:lang w:val="en-US" w:eastAsia="zh-CN"/>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lang w:val="en-US" w:eastAsia="zh-CN"/>
              </w:rPr>
            </w:pPr>
            <w:r>
              <w:rPr>
                <w:rFonts w:hint="eastAsia" w:ascii="等线" w:hAnsi="等线" w:eastAsia="等线" w:cs="等线"/>
                <w:i w:val="0"/>
                <w:iCs w:val="0"/>
                <w:color w:val="000000"/>
                <w:sz w:val="20"/>
                <w:szCs w:val="20"/>
                <w:highlight w:val="none"/>
                <w:u w:val="none"/>
                <w:lang w:val="en-US" w:eastAsia="zh-CN"/>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lang w:val="en-US" w:eastAsia="zh-CN"/>
              </w:rPr>
            </w:pPr>
            <w:r>
              <w:rPr>
                <w:rFonts w:hint="eastAsia" w:ascii="等线" w:hAnsi="等线" w:eastAsia="等线" w:cs="等线"/>
                <w:i w:val="0"/>
                <w:iCs w:val="0"/>
                <w:color w:val="000000"/>
                <w:sz w:val="20"/>
                <w:szCs w:val="20"/>
                <w:highlight w:val="none"/>
                <w:u w:val="none"/>
                <w:lang w:val="en-US" w:eastAsia="zh-CN"/>
              </w:rPr>
              <w:t>-</w:t>
            </w:r>
          </w:p>
        </w:tc>
      </w:tr>
      <w:tr>
        <w:tblPrEx>
          <w:tblCellMar>
            <w:top w:w="0" w:type="dxa"/>
            <w:left w:w="108" w:type="dxa"/>
            <w:bottom w:w="0" w:type="dxa"/>
            <w:right w:w="108" w:type="dxa"/>
          </w:tblCellMar>
        </w:tblPrEx>
        <w:trPr>
          <w:trHeight w:val="10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银杏叶/银杏酮酯</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银杏叶口服液、银杏叶酊、银杏叶颗粒、银杏酮酯颗粒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口服液/酊剂/颗粒剂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薄膜衣片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一次1-2片，一日2-3次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w:t>
            </w:r>
          </w:p>
        </w:tc>
      </w:tr>
      <w:tr>
        <w:tblPrEx>
          <w:tblCellMar>
            <w:top w:w="0" w:type="dxa"/>
            <w:left w:w="108" w:type="dxa"/>
            <w:bottom w:w="0" w:type="dxa"/>
            <w:right w:w="108" w:type="dxa"/>
          </w:tblCellMar>
        </w:tblPrEx>
        <w:trPr>
          <w:trHeight w:val="18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银杏叶/银杏酮酯/杏灵/银杏叶提取物</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杏灵分散片、银杏酮酯分散片、银杏酮酯胶囊、银杏酮酯片、银杏叶胶囊、银杏叶片、银杏叶提取物片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片剂/分散片/胶囊剂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薄膜衣片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一次1-2片，一日2-3次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w:t>
            </w:r>
          </w:p>
        </w:tc>
      </w:tr>
      <w:tr>
        <w:tblPrEx>
          <w:tblCellMar>
            <w:top w:w="0" w:type="dxa"/>
            <w:left w:w="108" w:type="dxa"/>
            <w:bottom w:w="0" w:type="dxa"/>
            <w:right w:w="108" w:type="dxa"/>
          </w:tblCellMar>
        </w:tblPrEx>
        <w:trPr>
          <w:trHeight w:val="7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18</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舒血宁</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舒血宁注射液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5ml（含总黄酮醇苷4.2mg;含银杏内酯0.7mg）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19</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大活络</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大活络丸</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丸剂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蜜丸</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3.5g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丸</w:t>
            </w:r>
          </w:p>
        </w:tc>
      </w:tr>
      <w:tr>
        <w:tblPrEx>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康复新</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康复新液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溶液剂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溶液剂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52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21</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小金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小金片、小金胶囊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片剂/胶囊剂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素片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一次2-3片，一日2次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w:t>
            </w:r>
          </w:p>
        </w:tc>
      </w:tr>
      <w:tr>
        <w:tblPrEx>
          <w:tblCellMar>
            <w:top w:w="0" w:type="dxa"/>
            <w:left w:w="108" w:type="dxa"/>
            <w:bottom w:w="0" w:type="dxa"/>
            <w:right w:w="108" w:type="dxa"/>
          </w:tblCellMar>
        </w:tblPrEx>
        <w:trPr>
          <w:trHeight w:val="7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小金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小金丸</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丸剂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糊丸</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一次1.2g（40丸）-3g（100丸），一日2次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4.2（140丸）</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g</w:t>
            </w:r>
          </w:p>
        </w:tc>
      </w:tr>
      <w:tr>
        <w:tblPrEx>
          <w:tblCellMar>
            <w:top w:w="0" w:type="dxa"/>
            <w:left w:w="108" w:type="dxa"/>
            <w:bottom w:w="0" w:type="dxa"/>
            <w:right w:w="108" w:type="dxa"/>
          </w:tblCellMar>
        </w:tblPrEx>
        <w:trPr>
          <w:trHeight w:val="52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22</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鸦胆子油</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鸦胆子油口服乳液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口服乳液</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口服乳液</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250ml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5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鸦胆子油</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鸦胆子油软胶囊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软胶囊</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软胶囊</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一次4粒，一日2～3次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5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鸦胆子油</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鸦胆子油乳注射液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78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23</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益母草/鲜益母草</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益母草片、益母草胶囊、鲜益母草胶囊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片剂/胶囊剂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一次2-4粒，一日3次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益母草</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益母草颗粒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一次1袋，一日2次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袋</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益母草</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益母草膏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膏剂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煎膏剂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125g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g</w:t>
            </w:r>
          </w:p>
        </w:tc>
      </w:tr>
      <w:tr>
        <w:tblPrEx>
          <w:tblCellMar>
            <w:top w:w="0" w:type="dxa"/>
            <w:left w:w="108" w:type="dxa"/>
            <w:bottom w:w="0" w:type="dxa"/>
            <w:right w:w="108" w:type="dxa"/>
          </w:tblCellMar>
        </w:tblPrEx>
        <w:trPr>
          <w:trHeight w:val="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24</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保妇康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保妇康凝胶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凝胶剂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凝胶剂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支</w:t>
            </w:r>
          </w:p>
        </w:tc>
      </w:tr>
      <w:tr>
        <w:tblPrEx>
          <w:tblCellMar>
            <w:top w:w="0" w:type="dxa"/>
            <w:left w:w="108" w:type="dxa"/>
            <w:bottom w:w="0" w:type="dxa"/>
            <w:right w:w="108" w:type="dxa"/>
          </w:tblCellMar>
        </w:tblPrEx>
        <w:trPr>
          <w:trHeight w:val="78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25</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复方血栓通</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复方血栓通滴丸、复方血栓通软胶囊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滴丸/软胶囊</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lang w:val="en-US" w:eastAsia="zh-CN"/>
              </w:rPr>
            </w:pPr>
            <w:r>
              <w:rPr>
                <w:rFonts w:hint="eastAsia" w:ascii="等线" w:hAnsi="等线" w:eastAsia="等线" w:cs="等线"/>
                <w:i w:val="0"/>
                <w:iCs w:val="0"/>
                <w:color w:val="000000"/>
                <w:sz w:val="20"/>
                <w:szCs w:val="20"/>
                <w:highlight w:val="none"/>
                <w:u w:val="none"/>
                <w:lang w:val="en-US" w:eastAsia="zh-CN"/>
              </w:rPr>
              <w:t>-</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lang w:val="en-US" w:eastAsia="zh-CN"/>
              </w:rPr>
            </w:pPr>
            <w:r>
              <w:rPr>
                <w:rFonts w:hint="eastAsia" w:ascii="等线" w:hAnsi="等线" w:eastAsia="等线" w:cs="等线"/>
                <w:i w:val="0"/>
                <w:iCs w:val="0"/>
                <w:color w:val="000000"/>
                <w:sz w:val="20"/>
                <w:szCs w:val="20"/>
                <w:highlight w:val="none"/>
                <w:u w:val="none"/>
                <w:lang w:val="en-US" w:eastAsia="zh-CN"/>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lang w:val="en-US" w:eastAsia="zh-CN"/>
              </w:rPr>
            </w:pPr>
            <w:r>
              <w:rPr>
                <w:rFonts w:hint="eastAsia" w:ascii="等线" w:hAnsi="等线" w:eastAsia="等线" w:cs="等线"/>
                <w:i w:val="0"/>
                <w:iCs w:val="0"/>
                <w:color w:val="000000"/>
                <w:sz w:val="20"/>
                <w:szCs w:val="20"/>
                <w:highlight w:val="none"/>
                <w:u w:val="none"/>
                <w:lang w:val="en-US" w:eastAsia="zh-CN"/>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lang w:val="en-US" w:eastAsia="zh-CN"/>
              </w:rPr>
            </w:pPr>
            <w:r>
              <w:rPr>
                <w:rFonts w:hint="eastAsia" w:ascii="等线" w:hAnsi="等线" w:eastAsia="等线" w:cs="等线"/>
                <w:i w:val="0"/>
                <w:iCs w:val="0"/>
                <w:color w:val="000000"/>
                <w:sz w:val="20"/>
                <w:szCs w:val="20"/>
                <w:highlight w:val="none"/>
                <w:u w:val="none"/>
                <w:lang w:val="en-US" w:eastAsia="zh-CN"/>
              </w:rPr>
              <w:t>-</w:t>
            </w:r>
          </w:p>
        </w:tc>
      </w:tr>
      <w:tr>
        <w:tblPrEx>
          <w:tblCellMar>
            <w:top w:w="0" w:type="dxa"/>
            <w:left w:w="108" w:type="dxa"/>
            <w:bottom w:w="0" w:type="dxa"/>
            <w:right w:w="108" w:type="dxa"/>
          </w:tblCellMar>
        </w:tblPrEx>
        <w:trPr>
          <w:trHeight w:val="10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复方血栓通</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复方血栓通胶囊、复方血栓通片、复方血栓通颗粒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片剂/胶囊剂/颗粒剂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一次3粒，一日3次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78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26</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活血止痛</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活血止痛片、活血止痛胶囊、活血止痛软胶囊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片剂/胶囊剂/软胶囊</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一次3粒，一日2次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活血止痛</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活血止痛膏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橡胶膏剂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橡胶膏剂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10cm×7cm</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活血止痛</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活血止痛散</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散剂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散剂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g</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袋</w:t>
            </w:r>
          </w:p>
        </w:tc>
      </w:tr>
      <w:tr>
        <w:tblPrEx>
          <w:tblCellMar>
            <w:top w:w="0" w:type="dxa"/>
            <w:left w:w="108" w:type="dxa"/>
            <w:bottom w:w="0" w:type="dxa"/>
            <w:right w:w="108" w:type="dxa"/>
          </w:tblCellMar>
        </w:tblPrEx>
        <w:trPr>
          <w:trHeight w:val="28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27</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独家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艾迪</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艾迪注射液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75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保妇康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保妇康栓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阴道栓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阴道栓</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1.74g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枚</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参附</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参附注射液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参芪扶正</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参芪扶正注射液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250ml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大活络</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大活络胶囊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一次4粒，一日3次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5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大株红景天</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大株红景天胶囊、大株红景天片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片剂/胶囊剂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一次4粒，一日3次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灯盏生脉</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灯盏生脉胶囊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一次2粒，一日3次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5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肺力咳</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肺力咳胶囊、肺力咳合剂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胶囊剂/合剂（含口服液）</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一次3～4粒，一日3次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复方丹参</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复方丹参喷雾剂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喷雾剂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喷雾剂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8ml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下</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复方丹参</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复方丹参滴丸</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滴丸</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滴丸</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一次10丸，一日3次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丸</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康莱特</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康莱特软胶囊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软胶囊</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软胶囊</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一次6粒，一日4次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24</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7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连花清瘟</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连花清瘟胶囊、连花清瘟颗粒、连花清瘟片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片剂/颗粒剂/胶囊剂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袋</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裸花紫珠</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裸花紫珠栓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阴道栓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阴道栓</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每粒重1.4g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脑栓通</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脑栓通胶囊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一次3粒，一日3次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641"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脑心通</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脑心通胶囊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一次2-4粒，一日3次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尿毒清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尿毒清颗粒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5g(无糖型)</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袋</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热毒宁</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热毒宁注射液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5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麝香保心</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麝香保心丸</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丸剂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水丸</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一次1～2丸，一日3次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丸</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肾康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肾康注射液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肾康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肾康栓</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直肠栓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直肠栓</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枚</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疏风解毒</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疏风解毒胶囊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一次4粒，一日3次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12</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疏血通</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疏血通注射液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5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四磨汤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四磨汤口服液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合剂（含口服液）</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合剂（含口服液）</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松龄血脉康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松龄血脉康胶囊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一次3粒，一日3次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苏黄止咳</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苏黄止咳胶囊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一次3粒，一日3次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痰热清</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痰热清注射液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胃苏</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胃苏颗粒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袋</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乌灵</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乌灵胶囊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一次3粒，一日3次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9</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喜炎平</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喜炎平注射液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2ml:50mg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375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mg</w:t>
            </w:r>
          </w:p>
        </w:tc>
      </w:tr>
      <w:tr>
        <w:tblPrEx>
          <w:tblCellMar>
            <w:top w:w="0" w:type="dxa"/>
            <w:left w:w="108" w:type="dxa"/>
            <w:bottom w:w="0" w:type="dxa"/>
            <w:right w:w="108" w:type="dxa"/>
          </w:tblCellMar>
        </w:tblPrEx>
        <w:trPr>
          <w:trHeight w:val="641"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仙灵骨葆</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仙灵骨葆片、仙灵骨葆胶囊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片剂/胶囊剂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胶囊剂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一次3粒，一日2次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粒</w:t>
            </w:r>
          </w:p>
        </w:tc>
      </w:tr>
      <w:tr>
        <w:tblPrEx>
          <w:tblCellMar>
            <w:top w:w="0" w:type="dxa"/>
            <w:left w:w="108" w:type="dxa"/>
            <w:bottom w:w="0" w:type="dxa"/>
            <w:right w:w="108" w:type="dxa"/>
          </w:tblCellMar>
        </w:tblPrEx>
        <w:trPr>
          <w:trHeight w:val="566"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小儿豉翘清热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小儿豉翘清热颗粒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颗粒剂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2g（无糖型）</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18</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g</w:t>
            </w:r>
          </w:p>
        </w:tc>
      </w:tr>
      <w:tr>
        <w:tblPrEx>
          <w:tblCellMar>
            <w:top w:w="0" w:type="dxa"/>
            <w:left w:w="108" w:type="dxa"/>
            <w:bottom w:w="0" w:type="dxa"/>
            <w:right w:w="108" w:type="dxa"/>
          </w:tblCellMar>
        </w:tblPrEx>
        <w:trPr>
          <w:trHeight w:val="9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小儿消积止咳</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小儿消积止咳口服液、小儿消积止咳颗粒</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合剂（含口服液）/颗粒剂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合剂（含口服液）</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10ml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60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益母草</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益母草注射液</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注射剂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2.5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5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银杏叶/银杏酮酯</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银杏叶丸</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浓缩丸</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浓缩丸</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一次1瓶，一日3次</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3</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瓶</w:t>
            </w:r>
          </w:p>
        </w:tc>
      </w:tr>
      <w:tr>
        <w:tblPrEx>
          <w:tblCellMar>
            <w:top w:w="0" w:type="dxa"/>
            <w:left w:w="108" w:type="dxa"/>
            <w:bottom w:w="0" w:type="dxa"/>
            <w:right w:w="108" w:type="dxa"/>
          </w:tblCellMar>
        </w:tblPrEx>
        <w:trPr>
          <w:trHeight w:val="52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银杏叶提取物</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银杏叶提取物滴剂</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滴剂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滴剂</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一日2-3次，一次1-2ml（20滴/ml）</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4</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ml</w:t>
            </w:r>
          </w:p>
        </w:tc>
      </w:tr>
      <w:tr>
        <w:tblPrEx>
          <w:tblCellMar>
            <w:top w:w="0" w:type="dxa"/>
            <w:left w:w="108" w:type="dxa"/>
            <w:bottom w:w="0" w:type="dxa"/>
            <w:right w:w="108" w:type="dxa"/>
          </w:tblCellMar>
        </w:tblPrEx>
        <w:trPr>
          <w:trHeight w:val="2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等线" w:hAnsi="等线" w:eastAsia="等线" w:cs="等线"/>
                <w:i w:val="0"/>
                <w:iCs w:val="0"/>
                <w:color w:val="000000"/>
                <w:sz w:val="20"/>
                <w:szCs w:val="20"/>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滋肾育胎</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滋肾育胎丸</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丸剂</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浓缩水蜜丸</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5g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15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highlight w:val="none"/>
                <w:u w:val="none"/>
              </w:rPr>
            </w:pPr>
            <w:r>
              <w:rPr>
                <w:rFonts w:hint="eastAsia" w:ascii="等线" w:hAnsi="等线" w:eastAsia="等线" w:cs="等线"/>
                <w:i w:val="0"/>
                <w:iCs w:val="0"/>
                <w:color w:val="000000"/>
                <w:kern w:val="0"/>
                <w:sz w:val="20"/>
                <w:szCs w:val="20"/>
                <w:highlight w:val="none"/>
                <w:u w:val="none"/>
                <w:lang w:val="en-US" w:eastAsia="zh-CN" w:bidi="ar"/>
              </w:rPr>
              <w:t>g</w:t>
            </w:r>
          </w:p>
        </w:tc>
      </w:tr>
    </w:tbl>
    <w:p>
      <w:pPr>
        <w:widowControl/>
        <w:textAlignment w:val="center"/>
        <w:rPr>
          <w:rFonts w:hint="default" w:eastAsia="仿宋"/>
          <w:sz w:val="24"/>
          <w:szCs w:val="24"/>
          <w:highlight w:val="none"/>
          <w:lang w:val="en-US" w:eastAsia="zh-CN"/>
        </w:rPr>
      </w:pPr>
    </w:p>
    <w:sectPr>
      <w:pgSz w:w="11910" w:h="16840"/>
      <w:pgMar w:top="1580" w:right="1040" w:bottom="1220" w:left="1300" w:header="1145" w:footer="1035"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2000000000000"/>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9895205</wp:posOffset>
              </wp:positionV>
              <wp:extent cx="40195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40195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- 19 -</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779.15pt;height:11pt;width:31.65pt;mso-position-horizontal:center;mso-position-horizontal-relative:margin;mso-position-vertical-relative:page;z-index:251661312;mso-width-relative:page;mso-height-relative:page;" filled="f" stroked="f" coordsize="21600,21600" o:gfxdata="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b/usNcAAAAJAQAADwAAAAAAAAABACAAAAAiAAAAZHJzL2Rvd25yZXYu&#10;eG1sUEsBAhQAFAAAAAgAh07iQOfVOR/8AQAAAwQAAA4AAAAAAAAAAQAgAAAAJgEAAGRycy9lMm9E&#10;b2MueG1sUEsFBgAAAAAGAAYAWQEAAJQ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- 19 -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714375</wp:posOffset>
              </wp:positionV>
              <wp:extent cx="2766695" cy="152400"/>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66695" cy="152400"/>
                      </a:xfrm>
                      <a:prstGeom prst="rect">
                        <a:avLst/>
                      </a:prstGeom>
                      <a:noFill/>
                      <a:ln>
                        <a:noFill/>
                      </a:ln>
                    </wps:spPr>
                    <wps:txbx>
                      <w:txbxContent>
                        <w:p>
                          <w:pPr>
                            <w:spacing w:line="220" w:lineRule="exact"/>
                            <w:ind w:left="20"/>
                            <w:rPr>
                              <w:sz w:val="15"/>
                              <w:szCs w:val="15"/>
                            </w:rPr>
                          </w:pPr>
                          <w:r>
                            <w:rPr>
                              <w:rFonts w:hint="eastAsia" w:ascii="Times New Roman" w:hAnsi="Times New Roman" w:cs="Times New Roman"/>
                              <w:color w:val="000000" w:themeColor="text1"/>
                              <w:sz w:val="15"/>
                              <w:szCs w:val="15"/>
                              <w:lang w:val="en-US" w:eastAsia="zh-CN"/>
                              <w14:textFill>
                                <w14:solidFill>
                                  <w14:schemeClr w14:val="tx1"/>
                                </w14:solidFill>
                              </w14:textFill>
                            </w:rPr>
                            <w:t>广东联盟清开灵等58个药品集团带量采购文件</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75.55pt;margin-top:56.25pt;height:12pt;width:217.85pt;mso-position-horizontal-relative:page;mso-position-vertical-relative:page;z-index:-251656192;mso-width-relative:page;mso-height-relative:page;" filled="f" stroked="f" coordsize="21600,21600" o:gfxdata="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235z9gAAAALAQAADwAAAAAAAAABACAAAAAiAAAAZHJzL2Rvd25y&#10;ZXYueG1sUEsBAhQAFAAAAAgAh07iQHV/Vor+AQAABAQAAA4AAAAAAAAAAQAgAAAAJwEAAGRycy9l&#10;Mm9Eb2MueG1sUEsFBgAAAAAGAAYAWQEAAJcFAAAAAA==&#10;">
              <v:fill on="f" focussize="0,0"/>
              <v:stroke on="f"/>
              <v:imagedata o:title=""/>
              <o:lock v:ext="edit" aspectratio="f"/>
              <v:textbox inset="0mm,0mm,0mm,0mm">
                <w:txbxContent>
                  <w:p>
                    <w:pPr>
                      <w:spacing w:line="220" w:lineRule="exact"/>
                      <w:ind w:left="20"/>
                      <w:rPr>
                        <w:sz w:val="15"/>
                        <w:szCs w:val="15"/>
                      </w:rPr>
                    </w:pPr>
                    <w:r>
                      <w:rPr>
                        <w:rFonts w:hint="eastAsia" w:ascii="Times New Roman" w:hAnsi="Times New Roman" w:cs="Times New Roman"/>
                        <w:color w:val="000000" w:themeColor="text1"/>
                        <w:sz w:val="15"/>
                        <w:szCs w:val="15"/>
                        <w:lang w:val="en-US" w:eastAsia="zh-CN"/>
                        <w14:textFill>
                          <w14:solidFill>
                            <w14:schemeClr w14:val="tx1"/>
                          </w14:solidFill>
                        </w14:textFill>
                      </w:rPr>
                      <w:t>广东联盟清开灵等58个药品集团带量采购文件</w:t>
                    </w:r>
                  </w:p>
                </w:txbxContent>
              </v:textbox>
            </v:shape>
          </w:pict>
        </mc:Fallback>
      </mc:AlternateContent>
    </w:r>
    <w:r>
      <w:rPr>
        <w:lang w:val="en-US" w:bidi="ar-SA"/>
      </w:rPr>
      <mc:AlternateContent>
        <mc:Choice Requires="wps">
          <w:drawing>
            <wp:anchor distT="0" distB="0" distL="114300" distR="114300" simplePos="0" relativeHeight="251659264" behindDoc="1" locked="0" layoutInCell="1" allowOverlap="1">
              <wp:simplePos x="0" y="0"/>
              <wp:positionH relativeFrom="page">
                <wp:posOffset>972185</wp:posOffset>
              </wp:positionH>
              <wp:positionV relativeFrom="page">
                <wp:posOffset>912495</wp:posOffset>
              </wp:positionV>
              <wp:extent cx="5615940" cy="0"/>
              <wp:effectExtent l="0" t="0" r="0" b="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144">
                        <a:solidFill>
                          <a:srgbClr val="000000"/>
                        </a:solidFill>
                        <a:prstDash val="solid"/>
                        <a:round/>
                      </a:ln>
                    </wps:spPr>
                    <wps:bodyPr/>
                  </wps:wsp>
                </a:graphicData>
              </a:graphic>
            </wp:anchor>
          </w:drawing>
        </mc:Choice>
        <mc:Fallback>
          <w:pict>
            <v:line id="Line 3" o:spid="_x0000_s1026" o:spt="20" style="position:absolute;left:0pt;margin-left:76.55pt;margin-top:71.85pt;height:0pt;width:442.2pt;mso-position-horizontal-relative:page;mso-position-vertical-relative:page;z-index:-251657216;mso-width-relative:page;mso-height-relative:page;" filled="f" stroked="t" coordsize="21600,21600" o:gfxdata="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gHpr1wAAAAwBAAAPAAAAAAAAAAEAIAAA&#10;ACIAAABkcnMvZG93bnJldi54bWxQSwECFAAUAAAACACHTuJAkFiqMNQBAAC4AwAADgAAAAAAAAAB&#10;ACAAAAAmAQAAZHJzL2Uyb0RvYy54bWxQSwUGAAAAAAYABgBZAQAAbAU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48FA9"/>
    <w:multiLevelType w:val="singleLevel"/>
    <w:tmpl w:val="C4748FA9"/>
    <w:lvl w:ilvl="0" w:tentative="0">
      <w:start w:val="2"/>
      <w:numFmt w:val="decimal"/>
      <w:lvlText w:val="%1."/>
      <w:lvlJc w:val="left"/>
      <w:pPr>
        <w:tabs>
          <w:tab w:val="left" w:pos="312"/>
        </w:tabs>
      </w:pPr>
    </w:lvl>
  </w:abstractNum>
  <w:abstractNum w:abstractNumId="1">
    <w:nsid w:val="50869D0C"/>
    <w:multiLevelType w:val="singleLevel"/>
    <w:tmpl w:val="50869D0C"/>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4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BF"/>
    <w:rsid w:val="00004809"/>
    <w:rsid w:val="00007569"/>
    <w:rsid w:val="000167E1"/>
    <w:rsid w:val="00020FB7"/>
    <w:rsid w:val="000219C4"/>
    <w:rsid w:val="0002469B"/>
    <w:rsid w:val="000261F2"/>
    <w:rsid w:val="00044884"/>
    <w:rsid w:val="0004561B"/>
    <w:rsid w:val="0005057F"/>
    <w:rsid w:val="000531E2"/>
    <w:rsid w:val="000726EE"/>
    <w:rsid w:val="00090772"/>
    <w:rsid w:val="000B4B6A"/>
    <w:rsid w:val="000C1143"/>
    <w:rsid w:val="000C2772"/>
    <w:rsid w:val="000D4E07"/>
    <w:rsid w:val="000D65B6"/>
    <w:rsid w:val="0011373A"/>
    <w:rsid w:val="00113D29"/>
    <w:rsid w:val="001166F0"/>
    <w:rsid w:val="00132EB1"/>
    <w:rsid w:val="00141631"/>
    <w:rsid w:val="001446F0"/>
    <w:rsid w:val="001610C0"/>
    <w:rsid w:val="001632CC"/>
    <w:rsid w:val="00172FBF"/>
    <w:rsid w:val="001812B4"/>
    <w:rsid w:val="00186B30"/>
    <w:rsid w:val="00193256"/>
    <w:rsid w:val="001A2C93"/>
    <w:rsid w:val="001B0020"/>
    <w:rsid w:val="001B56FA"/>
    <w:rsid w:val="001C0F31"/>
    <w:rsid w:val="001D1EE3"/>
    <w:rsid w:val="001D446F"/>
    <w:rsid w:val="001D7875"/>
    <w:rsid w:val="001E5E12"/>
    <w:rsid w:val="001F4041"/>
    <w:rsid w:val="001F66E6"/>
    <w:rsid w:val="0020199A"/>
    <w:rsid w:val="002647B7"/>
    <w:rsid w:val="00281742"/>
    <w:rsid w:val="002861C3"/>
    <w:rsid w:val="0029394E"/>
    <w:rsid w:val="002A1F77"/>
    <w:rsid w:val="002B2F82"/>
    <w:rsid w:val="002D03F5"/>
    <w:rsid w:val="002D0E9B"/>
    <w:rsid w:val="002D16F4"/>
    <w:rsid w:val="00310843"/>
    <w:rsid w:val="00315A50"/>
    <w:rsid w:val="00324340"/>
    <w:rsid w:val="00341E6B"/>
    <w:rsid w:val="003478E7"/>
    <w:rsid w:val="003569BE"/>
    <w:rsid w:val="0036703F"/>
    <w:rsid w:val="0036774E"/>
    <w:rsid w:val="00370492"/>
    <w:rsid w:val="0038498A"/>
    <w:rsid w:val="00385518"/>
    <w:rsid w:val="00385639"/>
    <w:rsid w:val="003A2D0F"/>
    <w:rsid w:val="003B3C9E"/>
    <w:rsid w:val="003C306B"/>
    <w:rsid w:val="003C5653"/>
    <w:rsid w:val="003E40F9"/>
    <w:rsid w:val="003F7A0E"/>
    <w:rsid w:val="00437EF1"/>
    <w:rsid w:val="00440FF0"/>
    <w:rsid w:val="004422E9"/>
    <w:rsid w:val="00444ADB"/>
    <w:rsid w:val="00470A03"/>
    <w:rsid w:val="004755BB"/>
    <w:rsid w:val="004807E5"/>
    <w:rsid w:val="004819C0"/>
    <w:rsid w:val="004A7CDB"/>
    <w:rsid w:val="004C0E02"/>
    <w:rsid w:val="004C7D15"/>
    <w:rsid w:val="004D0977"/>
    <w:rsid w:val="004D42D0"/>
    <w:rsid w:val="004D5AB3"/>
    <w:rsid w:val="00502396"/>
    <w:rsid w:val="0051010D"/>
    <w:rsid w:val="00522E76"/>
    <w:rsid w:val="0053715B"/>
    <w:rsid w:val="00544F98"/>
    <w:rsid w:val="00557006"/>
    <w:rsid w:val="00584735"/>
    <w:rsid w:val="005A0C50"/>
    <w:rsid w:val="005A4CA7"/>
    <w:rsid w:val="005C7E80"/>
    <w:rsid w:val="005D1921"/>
    <w:rsid w:val="005D4FBE"/>
    <w:rsid w:val="005D6844"/>
    <w:rsid w:val="005E74FA"/>
    <w:rsid w:val="00613065"/>
    <w:rsid w:val="0062185A"/>
    <w:rsid w:val="00625231"/>
    <w:rsid w:val="00635843"/>
    <w:rsid w:val="00643E8F"/>
    <w:rsid w:val="00647B1E"/>
    <w:rsid w:val="00675243"/>
    <w:rsid w:val="006765B1"/>
    <w:rsid w:val="006910A6"/>
    <w:rsid w:val="00694B2C"/>
    <w:rsid w:val="00696C8A"/>
    <w:rsid w:val="006B02DB"/>
    <w:rsid w:val="006C1410"/>
    <w:rsid w:val="006C22B5"/>
    <w:rsid w:val="006D0CC3"/>
    <w:rsid w:val="007224BD"/>
    <w:rsid w:val="00726641"/>
    <w:rsid w:val="00730316"/>
    <w:rsid w:val="00734DF4"/>
    <w:rsid w:val="00753235"/>
    <w:rsid w:val="00770D0A"/>
    <w:rsid w:val="007714EB"/>
    <w:rsid w:val="00775344"/>
    <w:rsid w:val="00784904"/>
    <w:rsid w:val="00785C99"/>
    <w:rsid w:val="00796B35"/>
    <w:rsid w:val="007A6119"/>
    <w:rsid w:val="007B409E"/>
    <w:rsid w:val="007B437D"/>
    <w:rsid w:val="007C6781"/>
    <w:rsid w:val="007E3167"/>
    <w:rsid w:val="00810EBB"/>
    <w:rsid w:val="00815A4F"/>
    <w:rsid w:val="00875698"/>
    <w:rsid w:val="00883E28"/>
    <w:rsid w:val="008A4D43"/>
    <w:rsid w:val="008A73C0"/>
    <w:rsid w:val="008A7F98"/>
    <w:rsid w:val="008B150D"/>
    <w:rsid w:val="008C2D0D"/>
    <w:rsid w:val="008C5A10"/>
    <w:rsid w:val="00902A9A"/>
    <w:rsid w:val="00905BA2"/>
    <w:rsid w:val="00911269"/>
    <w:rsid w:val="00917AAC"/>
    <w:rsid w:val="009334AF"/>
    <w:rsid w:val="00940911"/>
    <w:rsid w:val="0094418D"/>
    <w:rsid w:val="00972A4D"/>
    <w:rsid w:val="009838EB"/>
    <w:rsid w:val="009A2561"/>
    <w:rsid w:val="009C6C27"/>
    <w:rsid w:val="009E3A22"/>
    <w:rsid w:val="00A14144"/>
    <w:rsid w:val="00A24F92"/>
    <w:rsid w:val="00A34EEE"/>
    <w:rsid w:val="00A41777"/>
    <w:rsid w:val="00A44B35"/>
    <w:rsid w:val="00A528B1"/>
    <w:rsid w:val="00A62B07"/>
    <w:rsid w:val="00A674AD"/>
    <w:rsid w:val="00A74939"/>
    <w:rsid w:val="00A75902"/>
    <w:rsid w:val="00A85A8A"/>
    <w:rsid w:val="00A91829"/>
    <w:rsid w:val="00AB67FE"/>
    <w:rsid w:val="00AC0E75"/>
    <w:rsid w:val="00AC11CB"/>
    <w:rsid w:val="00AE55D4"/>
    <w:rsid w:val="00AF2546"/>
    <w:rsid w:val="00AF7685"/>
    <w:rsid w:val="00B02F33"/>
    <w:rsid w:val="00B4038E"/>
    <w:rsid w:val="00B42444"/>
    <w:rsid w:val="00B450AA"/>
    <w:rsid w:val="00B55E92"/>
    <w:rsid w:val="00B57A2F"/>
    <w:rsid w:val="00B60138"/>
    <w:rsid w:val="00B812F9"/>
    <w:rsid w:val="00B81882"/>
    <w:rsid w:val="00B8485F"/>
    <w:rsid w:val="00BB0698"/>
    <w:rsid w:val="00BE06C3"/>
    <w:rsid w:val="00BF5286"/>
    <w:rsid w:val="00C062A6"/>
    <w:rsid w:val="00C11756"/>
    <w:rsid w:val="00C3230C"/>
    <w:rsid w:val="00C52DDE"/>
    <w:rsid w:val="00C56EB9"/>
    <w:rsid w:val="00C67613"/>
    <w:rsid w:val="00C73F2F"/>
    <w:rsid w:val="00C93C18"/>
    <w:rsid w:val="00C966ED"/>
    <w:rsid w:val="00CA2DDB"/>
    <w:rsid w:val="00CB2AFA"/>
    <w:rsid w:val="00CB37C3"/>
    <w:rsid w:val="00CD5491"/>
    <w:rsid w:val="00CF451F"/>
    <w:rsid w:val="00D01D7E"/>
    <w:rsid w:val="00D257EF"/>
    <w:rsid w:val="00D2743E"/>
    <w:rsid w:val="00D621B3"/>
    <w:rsid w:val="00D62EE6"/>
    <w:rsid w:val="00D739BF"/>
    <w:rsid w:val="00D91A55"/>
    <w:rsid w:val="00D920E2"/>
    <w:rsid w:val="00E01ED7"/>
    <w:rsid w:val="00E21C49"/>
    <w:rsid w:val="00E22F0B"/>
    <w:rsid w:val="00E2776A"/>
    <w:rsid w:val="00E3130B"/>
    <w:rsid w:val="00E401E3"/>
    <w:rsid w:val="00E45655"/>
    <w:rsid w:val="00E52743"/>
    <w:rsid w:val="00E74A75"/>
    <w:rsid w:val="00E75E70"/>
    <w:rsid w:val="00E959B4"/>
    <w:rsid w:val="00EA2F2A"/>
    <w:rsid w:val="00EA5B2F"/>
    <w:rsid w:val="00EB2D86"/>
    <w:rsid w:val="00EC348F"/>
    <w:rsid w:val="00EC7089"/>
    <w:rsid w:val="00ED5788"/>
    <w:rsid w:val="00EE2DB5"/>
    <w:rsid w:val="00EF01DF"/>
    <w:rsid w:val="00EF5EB6"/>
    <w:rsid w:val="00F00EA3"/>
    <w:rsid w:val="00F219A5"/>
    <w:rsid w:val="00F424E7"/>
    <w:rsid w:val="00F52C26"/>
    <w:rsid w:val="00F8004B"/>
    <w:rsid w:val="00F923A0"/>
    <w:rsid w:val="00FB157E"/>
    <w:rsid w:val="01010072"/>
    <w:rsid w:val="01021A98"/>
    <w:rsid w:val="01040883"/>
    <w:rsid w:val="01081613"/>
    <w:rsid w:val="010C3D42"/>
    <w:rsid w:val="010D574F"/>
    <w:rsid w:val="010E2F15"/>
    <w:rsid w:val="011548F2"/>
    <w:rsid w:val="01165357"/>
    <w:rsid w:val="01175EE8"/>
    <w:rsid w:val="011F1FCE"/>
    <w:rsid w:val="011F31E4"/>
    <w:rsid w:val="0122201A"/>
    <w:rsid w:val="01224330"/>
    <w:rsid w:val="012757F0"/>
    <w:rsid w:val="012B0AB7"/>
    <w:rsid w:val="013B3843"/>
    <w:rsid w:val="01401000"/>
    <w:rsid w:val="014249BD"/>
    <w:rsid w:val="01435B93"/>
    <w:rsid w:val="014933C9"/>
    <w:rsid w:val="014F3651"/>
    <w:rsid w:val="0150731B"/>
    <w:rsid w:val="01534424"/>
    <w:rsid w:val="015376C1"/>
    <w:rsid w:val="015600D0"/>
    <w:rsid w:val="0156069C"/>
    <w:rsid w:val="015B4661"/>
    <w:rsid w:val="015D0D1F"/>
    <w:rsid w:val="01637EA9"/>
    <w:rsid w:val="016E343C"/>
    <w:rsid w:val="017B0F74"/>
    <w:rsid w:val="017C66EA"/>
    <w:rsid w:val="018069F1"/>
    <w:rsid w:val="018C1B22"/>
    <w:rsid w:val="01905528"/>
    <w:rsid w:val="01917BED"/>
    <w:rsid w:val="01920B9E"/>
    <w:rsid w:val="019D71B2"/>
    <w:rsid w:val="01AF768D"/>
    <w:rsid w:val="01B14D9D"/>
    <w:rsid w:val="01BF027D"/>
    <w:rsid w:val="01C04258"/>
    <w:rsid w:val="01C60FF0"/>
    <w:rsid w:val="01D01D3F"/>
    <w:rsid w:val="01DB4720"/>
    <w:rsid w:val="01E13BC2"/>
    <w:rsid w:val="01E17DB9"/>
    <w:rsid w:val="01E70E7F"/>
    <w:rsid w:val="02052559"/>
    <w:rsid w:val="02057043"/>
    <w:rsid w:val="02074C64"/>
    <w:rsid w:val="02095182"/>
    <w:rsid w:val="020B3F55"/>
    <w:rsid w:val="020F2353"/>
    <w:rsid w:val="02125B5D"/>
    <w:rsid w:val="021506CC"/>
    <w:rsid w:val="021F4DE4"/>
    <w:rsid w:val="022A0485"/>
    <w:rsid w:val="022D5D90"/>
    <w:rsid w:val="02317500"/>
    <w:rsid w:val="023251BB"/>
    <w:rsid w:val="023332AA"/>
    <w:rsid w:val="02374195"/>
    <w:rsid w:val="023A392C"/>
    <w:rsid w:val="023B0006"/>
    <w:rsid w:val="023C14AF"/>
    <w:rsid w:val="023E5AE4"/>
    <w:rsid w:val="024162BF"/>
    <w:rsid w:val="02456683"/>
    <w:rsid w:val="024A0A90"/>
    <w:rsid w:val="024A7794"/>
    <w:rsid w:val="024D46F7"/>
    <w:rsid w:val="024D4805"/>
    <w:rsid w:val="02521AAE"/>
    <w:rsid w:val="025448E0"/>
    <w:rsid w:val="0256054B"/>
    <w:rsid w:val="0258138A"/>
    <w:rsid w:val="025D6C81"/>
    <w:rsid w:val="02662DA0"/>
    <w:rsid w:val="02673D36"/>
    <w:rsid w:val="02685F98"/>
    <w:rsid w:val="02695FCF"/>
    <w:rsid w:val="026D2F48"/>
    <w:rsid w:val="027152E4"/>
    <w:rsid w:val="027C6D60"/>
    <w:rsid w:val="02853586"/>
    <w:rsid w:val="028C28CE"/>
    <w:rsid w:val="02921863"/>
    <w:rsid w:val="029244E8"/>
    <w:rsid w:val="029B52BC"/>
    <w:rsid w:val="029C6253"/>
    <w:rsid w:val="029F5CF5"/>
    <w:rsid w:val="02A1556D"/>
    <w:rsid w:val="02A42FC3"/>
    <w:rsid w:val="02A468CF"/>
    <w:rsid w:val="02A507D8"/>
    <w:rsid w:val="02A80D73"/>
    <w:rsid w:val="02AC755E"/>
    <w:rsid w:val="02B44A0B"/>
    <w:rsid w:val="02B62BE8"/>
    <w:rsid w:val="02BD60DF"/>
    <w:rsid w:val="02BF40C1"/>
    <w:rsid w:val="02BF75A6"/>
    <w:rsid w:val="02C93D50"/>
    <w:rsid w:val="02CB36FD"/>
    <w:rsid w:val="02CE7817"/>
    <w:rsid w:val="02CF30A0"/>
    <w:rsid w:val="02D062FA"/>
    <w:rsid w:val="02D878B1"/>
    <w:rsid w:val="02D90A62"/>
    <w:rsid w:val="02D9465E"/>
    <w:rsid w:val="02E070F4"/>
    <w:rsid w:val="02E43B2A"/>
    <w:rsid w:val="02E706F1"/>
    <w:rsid w:val="02E83EA7"/>
    <w:rsid w:val="02EC30A8"/>
    <w:rsid w:val="02EC314B"/>
    <w:rsid w:val="02EF5F31"/>
    <w:rsid w:val="02F22F11"/>
    <w:rsid w:val="02F41484"/>
    <w:rsid w:val="02F45956"/>
    <w:rsid w:val="02F525AC"/>
    <w:rsid w:val="02F9107F"/>
    <w:rsid w:val="02FC4DEE"/>
    <w:rsid w:val="02FD06E7"/>
    <w:rsid w:val="0300736C"/>
    <w:rsid w:val="03016D78"/>
    <w:rsid w:val="03054335"/>
    <w:rsid w:val="0307668F"/>
    <w:rsid w:val="0311666B"/>
    <w:rsid w:val="03153084"/>
    <w:rsid w:val="031817E1"/>
    <w:rsid w:val="031C1944"/>
    <w:rsid w:val="031D11B9"/>
    <w:rsid w:val="031D1BBB"/>
    <w:rsid w:val="031D5D9B"/>
    <w:rsid w:val="031F10CA"/>
    <w:rsid w:val="03210C9A"/>
    <w:rsid w:val="03212608"/>
    <w:rsid w:val="032C3807"/>
    <w:rsid w:val="032E6BA8"/>
    <w:rsid w:val="03326DB4"/>
    <w:rsid w:val="03355938"/>
    <w:rsid w:val="033F39B1"/>
    <w:rsid w:val="03424964"/>
    <w:rsid w:val="03454F56"/>
    <w:rsid w:val="03476A93"/>
    <w:rsid w:val="034828FE"/>
    <w:rsid w:val="03551D6B"/>
    <w:rsid w:val="0356212F"/>
    <w:rsid w:val="03605EA1"/>
    <w:rsid w:val="03622F74"/>
    <w:rsid w:val="03644081"/>
    <w:rsid w:val="03656478"/>
    <w:rsid w:val="036C436D"/>
    <w:rsid w:val="03701075"/>
    <w:rsid w:val="037047CF"/>
    <w:rsid w:val="03710D2E"/>
    <w:rsid w:val="037759B5"/>
    <w:rsid w:val="037954B8"/>
    <w:rsid w:val="037C0710"/>
    <w:rsid w:val="037C2F0E"/>
    <w:rsid w:val="037F640B"/>
    <w:rsid w:val="038379E5"/>
    <w:rsid w:val="03872438"/>
    <w:rsid w:val="03874634"/>
    <w:rsid w:val="03877FE1"/>
    <w:rsid w:val="03895ECE"/>
    <w:rsid w:val="03926295"/>
    <w:rsid w:val="03934DE7"/>
    <w:rsid w:val="039549BA"/>
    <w:rsid w:val="039E4DAD"/>
    <w:rsid w:val="039F75F1"/>
    <w:rsid w:val="03A65C07"/>
    <w:rsid w:val="03A7617A"/>
    <w:rsid w:val="03B2354C"/>
    <w:rsid w:val="03B42AC4"/>
    <w:rsid w:val="03B535A5"/>
    <w:rsid w:val="03B6581A"/>
    <w:rsid w:val="03B844D7"/>
    <w:rsid w:val="03C23CA2"/>
    <w:rsid w:val="03D05F3B"/>
    <w:rsid w:val="03D36DE3"/>
    <w:rsid w:val="03DE46B1"/>
    <w:rsid w:val="03DE5080"/>
    <w:rsid w:val="03DE6927"/>
    <w:rsid w:val="03EB2384"/>
    <w:rsid w:val="03EC024E"/>
    <w:rsid w:val="03EE23F4"/>
    <w:rsid w:val="03F03CF3"/>
    <w:rsid w:val="03F30B98"/>
    <w:rsid w:val="03FB6A8D"/>
    <w:rsid w:val="03FE7CDF"/>
    <w:rsid w:val="04034CDC"/>
    <w:rsid w:val="040B62CF"/>
    <w:rsid w:val="040F0647"/>
    <w:rsid w:val="0410601C"/>
    <w:rsid w:val="041407C9"/>
    <w:rsid w:val="041618F2"/>
    <w:rsid w:val="041E14D3"/>
    <w:rsid w:val="041F45DA"/>
    <w:rsid w:val="042B5428"/>
    <w:rsid w:val="042C70DE"/>
    <w:rsid w:val="042D011C"/>
    <w:rsid w:val="04322E90"/>
    <w:rsid w:val="043B2989"/>
    <w:rsid w:val="043B62EB"/>
    <w:rsid w:val="043C7A0A"/>
    <w:rsid w:val="0441682F"/>
    <w:rsid w:val="04443E58"/>
    <w:rsid w:val="044F57F6"/>
    <w:rsid w:val="0454730F"/>
    <w:rsid w:val="04584541"/>
    <w:rsid w:val="045F35B7"/>
    <w:rsid w:val="04674842"/>
    <w:rsid w:val="046A489F"/>
    <w:rsid w:val="046A5A1B"/>
    <w:rsid w:val="04780D8B"/>
    <w:rsid w:val="047A1094"/>
    <w:rsid w:val="047A7582"/>
    <w:rsid w:val="047C00D1"/>
    <w:rsid w:val="047F4901"/>
    <w:rsid w:val="04873755"/>
    <w:rsid w:val="048E007C"/>
    <w:rsid w:val="0490349D"/>
    <w:rsid w:val="04903A15"/>
    <w:rsid w:val="0493781F"/>
    <w:rsid w:val="04954DF8"/>
    <w:rsid w:val="04967669"/>
    <w:rsid w:val="049C30B1"/>
    <w:rsid w:val="049D2BA8"/>
    <w:rsid w:val="04AD35D2"/>
    <w:rsid w:val="04AD74BF"/>
    <w:rsid w:val="04BC5C1D"/>
    <w:rsid w:val="04BC6CED"/>
    <w:rsid w:val="04CF05B1"/>
    <w:rsid w:val="04D52FD2"/>
    <w:rsid w:val="04DA76A6"/>
    <w:rsid w:val="04DD0A3B"/>
    <w:rsid w:val="04DD2D50"/>
    <w:rsid w:val="04E412B9"/>
    <w:rsid w:val="04EF75D9"/>
    <w:rsid w:val="04F8377B"/>
    <w:rsid w:val="05017B2A"/>
    <w:rsid w:val="05020C96"/>
    <w:rsid w:val="0502191D"/>
    <w:rsid w:val="05047CC1"/>
    <w:rsid w:val="05063106"/>
    <w:rsid w:val="05064B86"/>
    <w:rsid w:val="050C0EAD"/>
    <w:rsid w:val="050F636E"/>
    <w:rsid w:val="05110A04"/>
    <w:rsid w:val="05186645"/>
    <w:rsid w:val="0519047A"/>
    <w:rsid w:val="051B7AFD"/>
    <w:rsid w:val="051F44F1"/>
    <w:rsid w:val="0520664C"/>
    <w:rsid w:val="05265751"/>
    <w:rsid w:val="05345884"/>
    <w:rsid w:val="05420607"/>
    <w:rsid w:val="05473F88"/>
    <w:rsid w:val="054D6B83"/>
    <w:rsid w:val="05525A5A"/>
    <w:rsid w:val="05547B01"/>
    <w:rsid w:val="05580B2B"/>
    <w:rsid w:val="055B2329"/>
    <w:rsid w:val="055B5EF9"/>
    <w:rsid w:val="05600BC4"/>
    <w:rsid w:val="056400B1"/>
    <w:rsid w:val="056424B7"/>
    <w:rsid w:val="05667649"/>
    <w:rsid w:val="05687A8C"/>
    <w:rsid w:val="056A52DE"/>
    <w:rsid w:val="056A7DFF"/>
    <w:rsid w:val="056C152C"/>
    <w:rsid w:val="05787248"/>
    <w:rsid w:val="05803FB3"/>
    <w:rsid w:val="05820731"/>
    <w:rsid w:val="05830966"/>
    <w:rsid w:val="05892049"/>
    <w:rsid w:val="058B5642"/>
    <w:rsid w:val="058C7E04"/>
    <w:rsid w:val="05915CB5"/>
    <w:rsid w:val="05917B11"/>
    <w:rsid w:val="059653DA"/>
    <w:rsid w:val="05984CD2"/>
    <w:rsid w:val="05A11627"/>
    <w:rsid w:val="05A30116"/>
    <w:rsid w:val="05A53E53"/>
    <w:rsid w:val="05A74730"/>
    <w:rsid w:val="05AA773E"/>
    <w:rsid w:val="05AD759A"/>
    <w:rsid w:val="05B1624F"/>
    <w:rsid w:val="05B65AAB"/>
    <w:rsid w:val="05B84726"/>
    <w:rsid w:val="05B96C3B"/>
    <w:rsid w:val="05BC0842"/>
    <w:rsid w:val="05BD5503"/>
    <w:rsid w:val="05C008B5"/>
    <w:rsid w:val="05C5177D"/>
    <w:rsid w:val="05C60181"/>
    <w:rsid w:val="05CB4F15"/>
    <w:rsid w:val="05D842C7"/>
    <w:rsid w:val="05DC1332"/>
    <w:rsid w:val="05DE012A"/>
    <w:rsid w:val="05DE5C5E"/>
    <w:rsid w:val="05DE6C78"/>
    <w:rsid w:val="05E03D42"/>
    <w:rsid w:val="05EC742E"/>
    <w:rsid w:val="05FE60FB"/>
    <w:rsid w:val="06061916"/>
    <w:rsid w:val="060D13D5"/>
    <w:rsid w:val="060E70E6"/>
    <w:rsid w:val="060F5093"/>
    <w:rsid w:val="06236CD8"/>
    <w:rsid w:val="062B1D51"/>
    <w:rsid w:val="062C739F"/>
    <w:rsid w:val="063C3563"/>
    <w:rsid w:val="063F3899"/>
    <w:rsid w:val="06481F83"/>
    <w:rsid w:val="06487D39"/>
    <w:rsid w:val="064A11D3"/>
    <w:rsid w:val="064B1267"/>
    <w:rsid w:val="064B3CEB"/>
    <w:rsid w:val="064B563B"/>
    <w:rsid w:val="06543C58"/>
    <w:rsid w:val="06591D58"/>
    <w:rsid w:val="065A6482"/>
    <w:rsid w:val="065F4307"/>
    <w:rsid w:val="06657985"/>
    <w:rsid w:val="066B5533"/>
    <w:rsid w:val="067005AD"/>
    <w:rsid w:val="067158A5"/>
    <w:rsid w:val="06796039"/>
    <w:rsid w:val="067E26EB"/>
    <w:rsid w:val="0683602E"/>
    <w:rsid w:val="068565EE"/>
    <w:rsid w:val="068C7D25"/>
    <w:rsid w:val="068E0EDC"/>
    <w:rsid w:val="06923230"/>
    <w:rsid w:val="06975A80"/>
    <w:rsid w:val="069854B1"/>
    <w:rsid w:val="069F77B5"/>
    <w:rsid w:val="06A0635E"/>
    <w:rsid w:val="06A23334"/>
    <w:rsid w:val="06AF2D96"/>
    <w:rsid w:val="06B157B6"/>
    <w:rsid w:val="06B77CE0"/>
    <w:rsid w:val="06BB0778"/>
    <w:rsid w:val="06BB6C1D"/>
    <w:rsid w:val="06BC2E28"/>
    <w:rsid w:val="06C509DE"/>
    <w:rsid w:val="06D425E0"/>
    <w:rsid w:val="06D91E5F"/>
    <w:rsid w:val="06DA48A4"/>
    <w:rsid w:val="06DB6900"/>
    <w:rsid w:val="06DC4088"/>
    <w:rsid w:val="06DE3449"/>
    <w:rsid w:val="06E05818"/>
    <w:rsid w:val="06E81110"/>
    <w:rsid w:val="06EB5BEC"/>
    <w:rsid w:val="06EC2933"/>
    <w:rsid w:val="06F236DC"/>
    <w:rsid w:val="06F60C36"/>
    <w:rsid w:val="06F67FCA"/>
    <w:rsid w:val="070107C0"/>
    <w:rsid w:val="07037004"/>
    <w:rsid w:val="070B1049"/>
    <w:rsid w:val="070B569F"/>
    <w:rsid w:val="070D6A0B"/>
    <w:rsid w:val="07107458"/>
    <w:rsid w:val="07163ABF"/>
    <w:rsid w:val="071F6F39"/>
    <w:rsid w:val="0721291F"/>
    <w:rsid w:val="07231105"/>
    <w:rsid w:val="07272674"/>
    <w:rsid w:val="072C1BB4"/>
    <w:rsid w:val="073339F0"/>
    <w:rsid w:val="07346A7B"/>
    <w:rsid w:val="073B4E9F"/>
    <w:rsid w:val="073E19B8"/>
    <w:rsid w:val="07443726"/>
    <w:rsid w:val="07473F05"/>
    <w:rsid w:val="074952B7"/>
    <w:rsid w:val="074E7C06"/>
    <w:rsid w:val="07525948"/>
    <w:rsid w:val="075408AE"/>
    <w:rsid w:val="07550363"/>
    <w:rsid w:val="075C5BF9"/>
    <w:rsid w:val="07656FBB"/>
    <w:rsid w:val="076E2E87"/>
    <w:rsid w:val="076E3CB6"/>
    <w:rsid w:val="07867B0D"/>
    <w:rsid w:val="0789683D"/>
    <w:rsid w:val="079347E0"/>
    <w:rsid w:val="079D000E"/>
    <w:rsid w:val="079F550D"/>
    <w:rsid w:val="07A76401"/>
    <w:rsid w:val="07A840E8"/>
    <w:rsid w:val="07B0086A"/>
    <w:rsid w:val="07B53883"/>
    <w:rsid w:val="07BA454B"/>
    <w:rsid w:val="07BE50A2"/>
    <w:rsid w:val="07BE7988"/>
    <w:rsid w:val="07BF0316"/>
    <w:rsid w:val="07CC0C12"/>
    <w:rsid w:val="07D000F4"/>
    <w:rsid w:val="07D20FCA"/>
    <w:rsid w:val="07D40769"/>
    <w:rsid w:val="07D861B7"/>
    <w:rsid w:val="07DE06BF"/>
    <w:rsid w:val="07E722CB"/>
    <w:rsid w:val="07E77D4C"/>
    <w:rsid w:val="07E91EA4"/>
    <w:rsid w:val="07EA76D7"/>
    <w:rsid w:val="07F1379F"/>
    <w:rsid w:val="07F61D03"/>
    <w:rsid w:val="07F805BB"/>
    <w:rsid w:val="07F84B70"/>
    <w:rsid w:val="07F85B3D"/>
    <w:rsid w:val="07F941EA"/>
    <w:rsid w:val="08013DDD"/>
    <w:rsid w:val="08022472"/>
    <w:rsid w:val="08071CAB"/>
    <w:rsid w:val="080B35D0"/>
    <w:rsid w:val="08151E19"/>
    <w:rsid w:val="08225D94"/>
    <w:rsid w:val="08227BEC"/>
    <w:rsid w:val="08272FD3"/>
    <w:rsid w:val="082779D0"/>
    <w:rsid w:val="08277D95"/>
    <w:rsid w:val="082C53B6"/>
    <w:rsid w:val="082D1CB4"/>
    <w:rsid w:val="08305F93"/>
    <w:rsid w:val="083371A0"/>
    <w:rsid w:val="08337685"/>
    <w:rsid w:val="08402B4A"/>
    <w:rsid w:val="08411F8B"/>
    <w:rsid w:val="08462037"/>
    <w:rsid w:val="08493089"/>
    <w:rsid w:val="084D4C5F"/>
    <w:rsid w:val="08573555"/>
    <w:rsid w:val="0858329B"/>
    <w:rsid w:val="085A6403"/>
    <w:rsid w:val="085F52A6"/>
    <w:rsid w:val="08636671"/>
    <w:rsid w:val="08644290"/>
    <w:rsid w:val="08691C9D"/>
    <w:rsid w:val="08733140"/>
    <w:rsid w:val="08751941"/>
    <w:rsid w:val="087912F3"/>
    <w:rsid w:val="08805D21"/>
    <w:rsid w:val="0882386D"/>
    <w:rsid w:val="088F117B"/>
    <w:rsid w:val="089D73DC"/>
    <w:rsid w:val="08A11EF2"/>
    <w:rsid w:val="08A357A5"/>
    <w:rsid w:val="08A73F82"/>
    <w:rsid w:val="08A83B7B"/>
    <w:rsid w:val="08A94B38"/>
    <w:rsid w:val="08AA1305"/>
    <w:rsid w:val="08B025A3"/>
    <w:rsid w:val="08B04F3F"/>
    <w:rsid w:val="08B251BE"/>
    <w:rsid w:val="08B342CA"/>
    <w:rsid w:val="08B629AD"/>
    <w:rsid w:val="08BE1311"/>
    <w:rsid w:val="08BE210F"/>
    <w:rsid w:val="08C54A50"/>
    <w:rsid w:val="08C824E4"/>
    <w:rsid w:val="08C86AF8"/>
    <w:rsid w:val="08C94914"/>
    <w:rsid w:val="08CA5DE9"/>
    <w:rsid w:val="08CB79A3"/>
    <w:rsid w:val="08CE6112"/>
    <w:rsid w:val="08D0145C"/>
    <w:rsid w:val="08D2412C"/>
    <w:rsid w:val="08D86911"/>
    <w:rsid w:val="08DA7788"/>
    <w:rsid w:val="08E02DD3"/>
    <w:rsid w:val="08E44803"/>
    <w:rsid w:val="08E74C7C"/>
    <w:rsid w:val="08EA12DE"/>
    <w:rsid w:val="08EB7775"/>
    <w:rsid w:val="08EC545D"/>
    <w:rsid w:val="08EE7720"/>
    <w:rsid w:val="08F35085"/>
    <w:rsid w:val="08F53A9F"/>
    <w:rsid w:val="08F9704C"/>
    <w:rsid w:val="08FB5F75"/>
    <w:rsid w:val="08FC22B3"/>
    <w:rsid w:val="08FD5A9C"/>
    <w:rsid w:val="09007783"/>
    <w:rsid w:val="09007858"/>
    <w:rsid w:val="09072FA3"/>
    <w:rsid w:val="090F2BC1"/>
    <w:rsid w:val="09135C5A"/>
    <w:rsid w:val="09171CFF"/>
    <w:rsid w:val="091829CD"/>
    <w:rsid w:val="091D2BF7"/>
    <w:rsid w:val="0922534F"/>
    <w:rsid w:val="09266BCD"/>
    <w:rsid w:val="0931065D"/>
    <w:rsid w:val="09340A2A"/>
    <w:rsid w:val="093926D6"/>
    <w:rsid w:val="093B7FE3"/>
    <w:rsid w:val="09494248"/>
    <w:rsid w:val="094950B4"/>
    <w:rsid w:val="094F58B0"/>
    <w:rsid w:val="09535BC7"/>
    <w:rsid w:val="095775C9"/>
    <w:rsid w:val="095A5B6D"/>
    <w:rsid w:val="095C18F4"/>
    <w:rsid w:val="095D6491"/>
    <w:rsid w:val="095E1705"/>
    <w:rsid w:val="095F0810"/>
    <w:rsid w:val="09684428"/>
    <w:rsid w:val="096B27AE"/>
    <w:rsid w:val="0970089B"/>
    <w:rsid w:val="09712AF8"/>
    <w:rsid w:val="09747530"/>
    <w:rsid w:val="09786EFC"/>
    <w:rsid w:val="097A555E"/>
    <w:rsid w:val="097A7DB6"/>
    <w:rsid w:val="097D2628"/>
    <w:rsid w:val="098113DB"/>
    <w:rsid w:val="09876AE6"/>
    <w:rsid w:val="098838C9"/>
    <w:rsid w:val="098D645E"/>
    <w:rsid w:val="099422C8"/>
    <w:rsid w:val="099566E0"/>
    <w:rsid w:val="0999712F"/>
    <w:rsid w:val="099E03CB"/>
    <w:rsid w:val="09A75231"/>
    <w:rsid w:val="09AD6B6E"/>
    <w:rsid w:val="09BD008D"/>
    <w:rsid w:val="09BF3703"/>
    <w:rsid w:val="09BF78C7"/>
    <w:rsid w:val="09C41CC3"/>
    <w:rsid w:val="09C80D07"/>
    <w:rsid w:val="09CC4BED"/>
    <w:rsid w:val="09D16595"/>
    <w:rsid w:val="09D1762E"/>
    <w:rsid w:val="09D66917"/>
    <w:rsid w:val="09D74A83"/>
    <w:rsid w:val="09DA0ACA"/>
    <w:rsid w:val="09DA532F"/>
    <w:rsid w:val="09DE75A5"/>
    <w:rsid w:val="09E544AC"/>
    <w:rsid w:val="09E545BF"/>
    <w:rsid w:val="09E77A96"/>
    <w:rsid w:val="09EC5EA9"/>
    <w:rsid w:val="09EE4464"/>
    <w:rsid w:val="09EF6875"/>
    <w:rsid w:val="09F17ADA"/>
    <w:rsid w:val="09FE4BDE"/>
    <w:rsid w:val="09FF15D5"/>
    <w:rsid w:val="0A014361"/>
    <w:rsid w:val="0A01505C"/>
    <w:rsid w:val="0A0866E2"/>
    <w:rsid w:val="0A0941A8"/>
    <w:rsid w:val="0A1A1450"/>
    <w:rsid w:val="0A1B44A0"/>
    <w:rsid w:val="0A2A5939"/>
    <w:rsid w:val="0A2C0B3E"/>
    <w:rsid w:val="0A305E6F"/>
    <w:rsid w:val="0A351CE5"/>
    <w:rsid w:val="0A363F6D"/>
    <w:rsid w:val="0A392A11"/>
    <w:rsid w:val="0A3A3495"/>
    <w:rsid w:val="0A3F614A"/>
    <w:rsid w:val="0A413D84"/>
    <w:rsid w:val="0A45434D"/>
    <w:rsid w:val="0A4753FF"/>
    <w:rsid w:val="0A5067AE"/>
    <w:rsid w:val="0A5140B9"/>
    <w:rsid w:val="0A532210"/>
    <w:rsid w:val="0A532992"/>
    <w:rsid w:val="0A57140D"/>
    <w:rsid w:val="0A59220D"/>
    <w:rsid w:val="0A5C786E"/>
    <w:rsid w:val="0A5E40CF"/>
    <w:rsid w:val="0A652FBB"/>
    <w:rsid w:val="0A6E429A"/>
    <w:rsid w:val="0A702AC1"/>
    <w:rsid w:val="0A753371"/>
    <w:rsid w:val="0A783AC7"/>
    <w:rsid w:val="0A7A6EB0"/>
    <w:rsid w:val="0A7D0F2B"/>
    <w:rsid w:val="0A7D3746"/>
    <w:rsid w:val="0A854BC8"/>
    <w:rsid w:val="0A877ABE"/>
    <w:rsid w:val="0A8C0DF0"/>
    <w:rsid w:val="0A8C4A04"/>
    <w:rsid w:val="0A8D6C26"/>
    <w:rsid w:val="0A8E1519"/>
    <w:rsid w:val="0A93476E"/>
    <w:rsid w:val="0A970189"/>
    <w:rsid w:val="0A973182"/>
    <w:rsid w:val="0A981283"/>
    <w:rsid w:val="0A9C242D"/>
    <w:rsid w:val="0AA40701"/>
    <w:rsid w:val="0AB0494C"/>
    <w:rsid w:val="0AB35C2A"/>
    <w:rsid w:val="0ABC328E"/>
    <w:rsid w:val="0ABC75EF"/>
    <w:rsid w:val="0AC31110"/>
    <w:rsid w:val="0AC641BF"/>
    <w:rsid w:val="0ACB6D15"/>
    <w:rsid w:val="0ACD5A29"/>
    <w:rsid w:val="0AD86987"/>
    <w:rsid w:val="0ADD7267"/>
    <w:rsid w:val="0ADF145F"/>
    <w:rsid w:val="0AE524F5"/>
    <w:rsid w:val="0AF04732"/>
    <w:rsid w:val="0AF45C5D"/>
    <w:rsid w:val="0AFF3A4E"/>
    <w:rsid w:val="0AFF6BBD"/>
    <w:rsid w:val="0B001F46"/>
    <w:rsid w:val="0B00795D"/>
    <w:rsid w:val="0B0152C8"/>
    <w:rsid w:val="0B0537D8"/>
    <w:rsid w:val="0B056BED"/>
    <w:rsid w:val="0B0946CB"/>
    <w:rsid w:val="0B0B13CC"/>
    <w:rsid w:val="0B0D6DA1"/>
    <w:rsid w:val="0B133CAF"/>
    <w:rsid w:val="0B1352BB"/>
    <w:rsid w:val="0B163C97"/>
    <w:rsid w:val="0B192C78"/>
    <w:rsid w:val="0B1E078F"/>
    <w:rsid w:val="0B2B1B21"/>
    <w:rsid w:val="0B2B47C4"/>
    <w:rsid w:val="0B2C44C9"/>
    <w:rsid w:val="0B363F51"/>
    <w:rsid w:val="0B392B60"/>
    <w:rsid w:val="0B3B1B22"/>
    <w:rsid w:val="0B3F55DC"/>
    <w:rsid w:val="0B480692"/>
    <w:rsid w:val="0B4843B5"/>
    <w:rsid w:val="0B4912CC"/>
    <w:rsid w:val="0B4A6BE4"/>
    <w:rsid w:val="0B4B0D13"/>
    <w:rsid w:val="0B4F6728"/>
    <w:rsid w:val="0B520F90"/>
    <w:rsid w:val="0B592AFE"/>
    <w:rsid w:val="0B5B5009"/>
    <w:rsid w:val="0B5D0B3A"/>
    <w:rsid w:val="0B5E4BFF"/>
    <w:rsid w:val="0B645C40"/>
    <w:rsid w:val="0B6B3C05"/>
    <w:rsid w:val="0B7814F3"/>
    <w:rsid w:val="0B7D6058"/>
    <w:rsid w:val="0B7D60E8"/>
    <w:rsid w:val="0B7E7359"/>
    <w:rsid w:val="0B85443E"/>
    <w:rsid w:val="0B91121B"/>
    <w:rsid w:val="0B955D2A"/>
    <w:rsid w:val="0B9970C5"/>
    <w:rsid w:val="0BA17328"/>
    <w:rsid w:val="0BA34CF8"/>
    <w:rsid w:val="0BA35052"/>
    <w:rsid w:val="0BAA2BDA"/>
    <w:rsid w:val="0BB01001"/>
    <w:rsid w:val="0BB51830"/>
    <w:rsid w:val="0BB65F43"/>
    <w:rsid w:val="0BB8164F"/>
    <w:rsid w:val="0BC05AAE"/>
    <w:rsid w:val="0BC12AC7"/>
    <w:rsid w:val="0BCF515A"/>
    <w:rsid w:val="0BD12280"/>
    <w:rsid w:val="0BDF701F"/>
    <w:rsid w:val="0BDF7A7C"/>
    <w:rsid w:val="0BE1073D"/>
    <w:rsid w:val="0BE2664D"/>
    <w:rsid w:val="0BE35337"/>
    <w:rsid w:val="0BEB7BAA"/>
    <w:rsid w:val="0BED1652"/>
    <w:rsid w:val="0BEE1760"/>
    <w:rsid w:val="0BEE3C15"/>
    <w:rsid w:val="0BFE3A2C"/>
    <w:rsid w:val="0BFE626E"/>
    <w:rsid w:val="0BFF0C24"/>
    <w:rsid w:val="0C001F5D"/>
    <w:rsid w:val="0C0A439B"/>
    <w:rsid w:val="0C0D3F7C"/>
    <w:rsid w:val="0C170E28"/>
    <w:rsid w:val="0C172B8B"/>
    <w:rsid w:val="0C19185F"/>
    <w:rsid w:val="0C1B6C54"/>
    <w:rsid w:val="0C1D4B4E"/>
    <w:rsid w:val="0C1F0AF3"/>
    <w:rsid w:val="0C202DD2"/>
    <w:rsid w:val="0C213401"/>
    <w:rsid w:val="0C22337B"/>
    <w:rsid w:val="0C2472D4"/>
    <w:rsid w:val="0C2668F1"/>
    <w:rsid w:val="0C2842AC"/>
    <w:rsid w:val="0C2F2966"/>
    <w:rsid w:val="0C2F5483"/>
    <w:rsid w:val="0C340846"/>
    <w:rsid w:val="0C373049"/>
    <w:rsid w:val="0C373BBD"/>
    <w:rsid w:val="0C383345"/>
    <w:rsid w:val="0C3870DB"/>
    <w:rsid w:val="0C3D4CC2"/>
    <w:rsid w:val="0C401A18"/>
    <w:rsid w:val="0C456919"/>
    <w:rsid w:val="0C462197"/>
    <w:rsid w:val="0C465B6D"/>
    <w:rsid w:val="0C49205B"/>
    <w:rsid w:val="0C555B81"/>
    <w:rsid w:val="0C58601E"/>
    <w:rsid w:val="0C5C7D2B"/>
    <w:rsid w:val="0C5D1E62"/>
    <w:rsid w:val="0C65048D"/>
    <w:rsid w:val="0C692C6D"/>
    <w:rsid w:val="0C6B0DAA"/>
    <w:rsid w:val="0C6C55B1"/>
    <w:rsid w:val="0C7073EF"/>
    <w:rsid w:val="0C76141F"/>
    <w:rsid w:val="0C7A42F6"/>
    <w:rsid w:val="0C7B1FB0"/>
    <w:rsid w:val="0C805582"/>
    <w:rsid w:val="0C84671F"/>
    <w:rsid w:val="0C8700B2"/>
    <w:rsid w:val="0C8832FE"/>
    <w:rsid w:val="0C885F82"/>
    <w:rsid w:val="0C9104C6"/>
    <w:rsid w:val="0C91669E"/>
    <w:rsid w:val="0C9301CC"/>
    <w:rsid w:val="0C967D8B"/>
    <w:rsid w:val="0C9904F5"/>
    <w:rsid w:val="0C9E004A"/>
    <w:rsid w:val="0C9E6C5A"/>
    <w:rsid w:val="0C9F7977"/>
    <w:rsid w:val="0CA04332"/>
    <w:rsid w:val="0CAF510F"/>
    <w:rsid w:val="0CB042E5"/>
    <w:rsid w:val="0CB30036"/>
    <w:rsid w:val="0CB30E53"/>
    <w:rsid w:val="0CB40E5B"/>
    <w:rsid w:val="0CB4415B"/>
    <w:rsid w:val="0CB63B0B"/>
    <w:rsid w:val="0CBC0E72"/>
    <w:rsid w:val="0CC12840"/>
    <w:rsid w:val="0CC42B94"/>
    <w:rsid w:val="0CC4364F"/>
    <w:rsid w:val="0CC54028"/>
    <w:rsid w:val="0CC66938"/>
    <w:rsid w:val="0CC855EA"/>
    <w:rsid w:val="0CCB40B9"/>
    <w:rsid w:val="0CCC1A3C"/>
    <w:rsid w:val="0CCD5D53"/>
    <w:rsid w:val="0CCE285E"/>
    <w:rsid w:val="0CD24CD8"/>
    <w:rsid w:val="0CDB7F97"/>
    <w:rsid w:val="0CDF38B7"/>
    <w:rsid w:val="0CE237D0"/>
    <w:rsid w:val="0CE7460B"/>
    <w:rsid w:val="0CEA3FF2"/>
    <w:rsid w:val="0CEF0EA1"/>
    <w:rsid w:val="0CF110B0"/>
    <w:rsid w:val="0CF13533"/>
    <w:rsid w:val="0CF25D65"/>
    <w:rsid w:val="0CF30DC5"/>
    <w:rsid w:val="0CF562EB"/>
    <w:rsid w:val="0CF83AFD"/>
    <w:rsid w:val="0CF91B50"/>
    <w:rsid w:val="0CFC32C1"/>
    <w:rsid w:val="0D060062"/>
    <w:rsid w:val="0D087D56"/>
    <w:rsid w:val="0D117C5D"/>
    <w:rsid w:val="0D233EB3"/>
    <w:rsid w:val="0D24048C"/>
    <w:rsid w:val="0D2939CA"/>
    <w:rsid w:val="0D2B24DB"/>
    <w:rsid w:val="0D2B68F8"/>
    <w:rsid w:val="0D303436"/>
    <w:rsid w:val="0D337704"/>
    <w:rsid w:val="0D34684E"/>
    <w:rsid w:val="0D3A7DB2"/>
    <w:rsid w:val="0D3C1D61"/>
    <w:rsid w:val="0D425172"/>
    <w:rsid w:val="0D453113"/>
    <w:rsid w:val="0D47339A"/>
    <w:rsid w:val="0D4D2BE7"/>
    <w:rsid w:val="0D553203"/>
    <w:rsid w:val="0D55778F"/>
    <w:rsid w:val="0D5A4D1E"/>
    <w:rsid w:val="0D635AC3"/>
    <w:rsid w:val="0D640E79"/>
    <w:rsid w:val="0D6456AE"/>
    <w:rsid w:val="0D674849"/>
    <w:rsid w:val="0D695CCC"/>
    <w:rsid w:val="0D6B2111"/>
    <w:rsid w:val="0D7744B7"/>
    <w:rsid w:val="0D7A19FC"/>
    <w:rsid w:val="0D7B6B9F"/>
    <w:rsid w:val="0D7D1830"/>
    <w:rsid w:val="0D7F4243"/>
    <w:rsid w:val="0D80231D"/>
    <w:rsid w:val="0D813543"/>
    <w:rsid w:val="0D875654"/>
    <w:rsid w:val="0D877ED1"/>
    <w:rsid w:val="0D8964E0"/>
    <w:rsid w:val="0D8A16B2"/>
    <w:rsid w:val="0D8D635C"/>
    <w:rsid w:val="0D902B9D"/>
    <w:rsid w:val="0DAB1687"/>
    <w:rsid w:val="0DAB3237"/>
    <w:rsid w:val="0DAF1EB1"/>
    <w:rsid w:val="0DB11356"/>
    <w:rsid w:val="0DB60369"/>
    <w:rsid w:val="0DB67958"/>
    <w:rsid w:val="0DB81682"/>
    <w:rsid w:val="0DB9422D"/>
    <w:rsid w:val="0DBA0C7D"/>
    <w:rsid w:val="0DBC2BE1"/>
    <w:rsid w:val="0DC25287"/>
    <w:rsid w:val="0DC30E5C"/>
    <w:rsid w:val="0DC96C79"/>
    <w:rsid w:val="0DCD3086"/>
    <w:rsid w:val="0DD036FD"/>
    <w:rsid w:val="0DD1239E"/>
    <w:rsid w:val="0DDA7FF2"/>
    <w:rsid w:val="0DDB3650"/>
    <w:rsid w:val="0DDF6F08"/>
    <w:rsid w:val="0DE10BB8"/>
    <w:rsid w:val="0DE51429"/>
    <w:rsid w:val="0DE7783B"/>
    <w:rsid w:val="0DE9587E"/>
    <w:rsid w:val="0DEB6E8C"/>
    <w:rsid w:val="0DF0263A"/>
    <w:rsid w:val="0DF413BD"/>
    <w:rsid w:val="0E050474"/>
    <w:rsid w:val="0E0506FA"/>
    <w:rsid w:val="0E0977D2"/>
    <w:rsid w:val="0E125392"/>
    <w:rsid w:val="0E135D80"/>
    <w:rsid w:val="0E174CA0"/>
    <w:rsid w:val="0E191C84"/>
    <w:rsid w:val="0E1C3338"/>
    <w:rsid w:val="0E1E4432"/>
    <w:rsid w:val="0E212F6F"/>
    <w:rsid w:val="0E2561AF"/>
    <w:rsid w:val="0E2A2381"/>
    <w:rsid w:val="0E344C94"/>
    <w:rsid w:val="0E360FF7"/>
    <w:rsid w:val="0E363ACC"/>
    <w:rsid w:val="0E3B3D82"/>
    <w:rsid w:val="0E404601"/>
    <w:rsid w:val="0E4143E9"/>
    <w:rsid w:val="0E470190"/>
    <w:rsid w:val="0E4B5880"/>
    <w:rsid w:val="0E4D0814"/>
    <w:rsid w:val="0E4D51FD"/>
    <w:rsid w:val="0E4E28FA"/>
    <w:rsid w:val="0E547132"/>
    <w:rsid w:val="0E5729B2"/>
    <w:rsid w:val="0E58615D"/>
    <w:rsid w:val="0E607C92"/>
    <w:rsid w:val="0E6416D7"/>
    <w:rsid w:val="0E650E98"/>
    <w:rsid w:val="0E7C6A08"/>
    <w:rsid w:val="0E7C740A"/>
    <w:rsid w:val="0E8156F3"/>
    <w:rsid w:val="0E835CCD"/>
    <w:rsid w:val="0E86141F"/>
    <w:rsid w:val="0E8646FF"/>
    <w:rsid w:val="0E8C015F"/>
    <w:rsid w:val="0E9C76A1"/>
    <w:rsid w:val="0E9D1D85"/>
    <w:rsid w:val="0EA42398"/>
    <w:rsid w:val="0EA625ED"/>
    <w:rsid w:val="0EA66C44"/>
    <w:rsid w:val="0EB10538"/>
    <w:rsid w:val="0EB10D65"/>
    <w:rsid w:val="0EB8024F"/>
    <w:rsid w:val="0EB97BAE"/>
    <w:rsid w:val="0EBA2A87"/>
    <w:rsid w:val="0EBD7E7E"/>
    <w:rsid w:val="0EC012FB"/>
    <w:rsid w:val="0ECC4B37"/>
    <w:rsid w:val="0ECE3EF4"/>
    <w:rsid w:val="0ED732D8"/>
    <w:rsid w:val="0EDC2FFD"/>
    <w:rsid w:val="0EE03D8C"/>
    <w:rsid w:val="0EE37B2A"/>
    <w:rsid w:val="0EF215B8"/>
    <w:rsid w:val="0EF442A8"/>
    <w:rsid w:val="0EF64F3A"/>
    <w:rsid w:val="0F096F00"/>
    <w:rsid w:val="0F0A5C06"/>
    <w:rsid w:val="0F163A64"/>
    <w:rsid w:val="0F187B0A"/>
    <w:rsid w:val="0F1B5A4A"/>
    <w:rsid w:val="0F26074B"/>
    <w:rsid w:val="0F2803EF"/>
    <w:rsid w:val="0F2B3FFF"/>
    <w:rsid w:val="0F2C77B2"/>
    <w:rsid w:val="0F326AE6"/>
    <w:rsid w:val="0F390CF3"/>
    <w:rsid w:val="0F3E2B44"/>
    <w:rsid w:val="0F525778"/>
    <w:rsid w:val="0F583BFC"/>
    <w:rsid w:val="0F5A7282"/>
    <w:rsid w:val="0F5B0265"/>
    <w:rsid w:val="0F5D0310"/>
    <w:rsid w:val="0F5D4619"/>
    <w:rsid w:val="0F600EE2"/>
    <w:rsid w:val="0F666517"/>
    <w:rsid w:val="0F6B590A"/>
    <w:rsid w:val="0F6F0CC8"/>
    <w:rsid w:val="0F721F4B"/>
    <w:rsid w:val="0F731BFB"/>
    <w:rsid w:val="0F7349DE"/>
    <w:rsid w:val="0F7B1A17"/>
    <w:rsid w:val="0F807ECD"/>
    <w:rsid w:val="0F815150"/>
    <w:rsid w:val="0F841107"/>
    <w:rsid w:val="0F875B09"/>
    <w:rsid w:val="0F8A6D7B"/>
    <w:rsid w:val="0F8B1AB0"/>
    <w:rsid w:val="0F8D588B"/>
    <w:rsid w:val="0F932E5B"/>
    <w:rsid w:val="0F974AC8"/>
    <w:rsid w:val="0F980097"/>
    <w:rsid w:val="0F9846B2"/>
    <w:rsid w:val="0F9868D1"/>
    <w:rsid w:val="0F9910B9"/>
    <w:rsid w:val="0FA40CB8"/>
    <w:rsid w:val="0FAA5FCA"/>
    <w:rsid w:val="0FB067F1"/>
    <w:rsid w:val="0FB43C92"/>
    <w:rsid w:val="0FB53097"/>
    <w:rsid w:val="0FB57198"/>
    <w:rsid w:val="0FBA4F87"/>
    <w:rsid w:val="0FBB6B91"/>
    <w:rsid w:val="0FBF4F53"/>
    <w:rsid w:val="0FD4264C"/>
    <w:rsid w:val="0FD44080"/>
    <w:rsid w:val="0FE01302"/>
    <w:rsid w:val="0FE136C0"/>
    <w:rsid w:val="0FF15BB4"/>
    <w:rsid w:val="0FF64054"/>
    <w:rsid w:val="100144B9"/>
    <w:rsid w:val="10016413"/>
    <w:rsid w:val="10016899"/>
    <w:rsid w:val="1003570C"/>
    <w:rsid w:val="10123444"/>
    <w:rsid w:val="101264EB"/>
    <w:rsid w:val="10175BCC"/>
    <w:rsid w:val="101825EB"/>
    <w:rsid w:val="102248B3"/>
    <w:rsid w:val="102C1544"/>
    <w:rsid w:val="103474DC"/>
    <w:rsid w:val="103E3B58"/>
    <w:rsid w:val="105150C3"/>
    <w:rsid w:val="105C44B6"/>
    <w:rsid w:val="105F1622"/>
    <w:rsid w:val="10622E48"/>
    <w:rsid w:val="106670EB"/>
    <w:rsid w:val="106A7FFF"/>
    <w:rsid w:val="10730A01"/>
    <w:rsid w:val="10784138"/>
    <w:rsid w:val="10796102"/>
    <w:rsid w:val="108109CA"/>
    <w:rsid w:val="10823C96"/>
    <w:rsid w:val="10877636"/>
    <w:rsid w:val="10880B1E"/>
    <w:rsid w:val="10906195"/>
    <w:rsid w:val="10921840"/>
    <w:rsid w:val="10927074"/>
    <w:rsid w:val="109744F1"/>
    <w:rsid w:val="109B2639"/>
    <w:rsid w:val="10A12E93"/>
    <w:rsid w:val="10A149C6"/>
    <w:rsid w:val="10A25DC9"/>
    <w:rsid w:val="10AD0A19"/>
    <w:rsid w:val="10AF6105"/>
    <w:rsid w:val="10B07006"/>
    <w:rsid w:val="10B15A1B"/>
    <w:rsid w:val="10B52F63"/>
    <w:rsid w:val="10B96501"/>
    <w:rsid w:val="10BB66C8"/>
    <w:rsid w:val="10BB70F7"/>
    <w:rsid w:val="10BC3F9F"/>
    <w:rsid w:val="10C11FBE"/>
    <w:rsid w:val="10C57BF4"/>
    <w:rsid w:val="10C74249"/>
    <w:rsid w:val="10C757F9"/>
    <w:rsid w:val="10C75C53"/>
    <w:rsid w:val="10CE53A5"/>
    <w:rsid w:val="10D54B52"/>
    <w:rsid w:val="10D8083E"/>
    <w:rsid w:val="10DA28A5"/>
    <w:rsid w:val="10DC5D2B"/>
    <w:rsid w:val="10DD718C"/>
    <w:rsid w:val="10E652F1"/>
    <w:rsid w:val="10EF1485"/>
    <w:rsid w:val="10EF243E"/>
    <w:rsid w:val="10F55009"/>
    <w:rsid w:val="10FD020F"/>
    <w:rsid w:val="10FE5D36"/>
    <w:rsid w:val="11026507"/>
    <w:rsid w:val="11027827"/>
    <w:rsid w:val="11032465"/>
    <w:rsid w:val="110354E4"/>
    <w:rsid w:val="110479F7"/>
    <w:rsid w:val="11092735"/>
    <w:rsid w:val="111D22ED"/>
    <w:rsid w:val="11274215"/>
    <w:rsid w:val="11277E42"/>
    <w:rsid w:val="112C0267"/>
    <w:rsid w:val="112D1B27"/>
    <w:rsid w:val="11317B97"/>
    <w:rsid w:val="11320455"/>
    <w:rsid w:val="113835D6"/>
    <w:rsid w:val="113B1FC7"/>
    <w:rsid w:val="113B384B"/>
    <w:rsid w:val="113C56E7"/>
    <w:rsid w:val="113C68FF"/>
    <w:rsid w:val="113D5F64"/>
    <w:rsid w:val="113F0E56"/>
    <w:rsid w:val="11401D33"/>
    <w:rsid w:val="114B1274"/>
    <w:rsid w:val="115555DD"/>
    <w:rsid w:val="115718FD"/>
    <w:rsid w:val="11580406"/>
    <w:rsid w:val="115A0C44"/>
    <w:rsid w:val="115C0C26"/>
    <w:rsid w:val="115D7B64"/>
    <w:rsid w:val="116473B1"/>
    <w:rsid w:val="116C44F8"/>
    <w:rsid w:val="117A0B6B"/>
    <w:rsid w:val="117C43D8"/>
    <w:rsid w:val="1181281A"/>
    <w:rsid w:val="118C4132"/>
    <w:rsid w:val="118D0261"/>
    <w:rsid w:val="119120A5"/>
    <w:rsid w:val="11957FFA"/>
    <w:rsid w:val="11971BCC"/>
    <w:rsid w:val="119978DF"/>
    <w:rsid w:val="119A50A2"/>
    <w:rsid w:val="11A34471"/>
    <w:rsid w:val="11A576A5"/>
    <w:rsid w:val="11A7419B"/>
    <w:rsid w:val="11AC64EB"/>
    <w:rsid w:val="11B15131"/>
    <w:rsid w:val="11B21340"/>
    <w:rsid w:val="11C36B4A"/>
    <w:rsid w:val="11C41216"/>
    <w:rsid w:val="11CB0FB4"/>
    <w:rsid w:val="11D112AD"/>
    <w:rsid w:val="11D87744"/>
    <w:rsid w:val="11DB16B6"/>
    <w:rsid w:val="11DC6B9C"/>
    <w:rsid w:val="11E27D2A"/>
    <w:rsid w:val="11E443DF"/>
    <w:rsid w:val="11E81850"/>
    <w:rsid w:val="11EA3B0D"/>
    <w:rsid w:val="11EC3D84"/>
    <w:rsid w:val="11EF035A"/>
    <w:rsid w:val="11EF57CB"/>
    <w:rsid w:val="11FD27F3"/>
    <w:rsid w:val="12072BF5"/>
    <w:rsid w:val="120A5ACA"/>
    <w:rsid w:val="120C53CC"/>
    <w:rsid w:val="120D138A"/>
    <w:rsid w:val="120D17B7"/>
    <w:rsid w:val="121161D7"/>
    <w:rsid w:val="121D6BAC"/>
    <w:rsid w:val="122C0CD2"/>
    <w:rsid w:val="122D21B4"/>
    <w:rsid w:val="12313028"/>
    <w:rsid w:val="123202D5"/>
    <w:rsid w:val="1237401C"/>
    <w:rsid w:val="123B6000"/>
    <w:rsid w:val="123C2AE0"/>
    <w:rsid w:val="123E0192"/>
    <w:rsid w:val="12414518"/>
    <w:rsid w:val="12472AEF"/>
    <w:rsid w:val="125528F3"/>
    <w:rsid w:val="125B420A"/>
    <w:rsid w:val="125C1FF8"/>
    <w:rsid w:val="125F1F90"/>
    <w:rsid w:val="125F5DF0"/>
    <w:rsid w:val="126A07CF"/>
    <w:rsid w:val="128468DD"/>
    <w:rsid w:val="128672BC"/>
    <w:rsid w:val="128A0375"/>
    <w:rsid w:val="128C1AC9"/>
    <w:rsid w:val="129404ED"/>
    <w:rsid w:val="12A51E61"/>
    <w:rsid w:val="12A97085"/>
    <w:rsid w:val="12AD1365"/>
    <w:rsid w:val="12B170B2"/>
    <w:rsid w:val="12B26E17"/>
    <w:rsid w:val="12B94193"/>
    <w:rsid w:val="12C34482"/>
    <w:rsid w:val="12CC2788"/>
    <w:rsid w:val="12CD120A"/>
    <w:rsid w:val="12CE6FA1"/>
    <w:rsid w:val="12CF0909"/>
    <w:rsid w:val="12D27D1A"/>
    <w:rsid w:val="12D31AC9"/>
    <w:rsid w:val="12D455FC"/>
    <w:rsid w:val="12D52DC5"/>
    <w:rsid w:val="12D66F75"/>
    <w:rsid w:val="12DC0010"/>
    <w:rsid w:val="12DC49B4"/>
    <w:rsid w:val="12DD245F"/>
    <w:rsid w:val="12E131F6"/>
    <w:rsid w:val="12E47F03"/>
    <w:rsid w:val="12E63A41"/>
    <w:rsid w:val="12EE135D"/>
    <w:rsid w:val="12EF2546"/>
    <w:rsid w:val="12F26EF2"/>
    <w:rsid w:val="12F27FE5"/>
    <w:rsid w:val="12F365C9"/>
    <w:rsid w:val="12F75CEC"/>
    <w:rsid w:val="12FC4160"/>
    <w:rsid w:val="12FD0C02"/>
    <w:rsid w:val="13007AEE"/>
    <w:rsid w:val="1307653B"/>
    <w:rsid w:val="13093A14"/>
    <w:rsid w:val="130D2E57"/>
    <w:rsid w:val="13115637"/>
    <w:rsid w:val="13115826"/>
    <w:rsid w:val="131B3FB4"/>
    <w:rsid w:val="131D152D"/>
    <w:rsid w:val="131E1C42"/>
    <w:rsid w:val="13204DFE"/>
    <w:rsid w:val="132F3E70"/>
    <w:rsid w:val="133762A7"/>
    <w:rsid w:val="133D7D56"/>
    <w:rsid w:val="13416688"/>
    <w:rsid w:val="13435F06"/>
    <w:rsid w:val="1346135D"/>
    <w:rsid w:val="134E72D5"/>
    <w:rsid w:val="134F5905"/>
    <w:rsid w:val="13507774"/>
    <w:rsid w:val="13563666"/>
    <w:rsid w:val="135902EA"/>
    <w:rsid w:val="13593C35"/>
    <w:rsid w:val="135973F5"/>
    <w:rsid w:val="135B1D5A"/>
    <w:rsid w:val="135C3E6A"/>
    <w:rsid w:val="135D069E"/>
    <w:rsid w:val="135D7BF3"/>
    <w:rsid w:val="135F530B"/>
    <w:rsid w:val="136076DA"/>
    <w:rsid w:val="13623D41"/>
    <w:rsid w:val="1369779C"/>
    <w:rsid w:val="136C373D"/>
    <w:rsid w:val="136F3720"/>
    <w:rsid w:val="13722F17"/>
    <w:rsid w:val="13754E15"/>
    <w:rsid w:val="1377173D"/>
    <w:rsid w:val="13793682"/>
    <w:rsid w:val="137A6A01"/>
    <w:rsid w:val="137D5DF5"/>
    <w:rsid w:val="13816A50"/>
    <w:rsid w:val="13837788"/>
    <w:rsid w:val="13843835"/>
    <w:rsid w:val="13880764"/>
    <w:rsid w:val="138B792F"/>
    <w:rsid w:val="138D085B"/>
    <w:rsid w:val="13910868"/>
    <w:rsid w:val="13913060"/>
    <w:rsid w:val="13913D0C"/>
    <w:rsid w:val="13953028"/>
    <w:rsid w:val="13953988"/>
    <w:rsid w:val="139A2B0D"/>
    <w:rsid w:val="13A16276"/>
    <w:rsid w:val="13A8182F"/>
    <w:rsid w:val="13AC081B"/>
    <w:rsid w:val="13AF547B"/>
    <w:rsid w:val="13B60927"/>
    <w:rsid w:val="13B745A7"/>
    <w:rsid w:val="13BC561F"/>
    <w:rsid w:val="13BD6C61"/>
    <w:rsid w:val="13C13B54"/>
    <w:rsid w:val="13C61F55"/>
    <w:rsid w:val="13C819BD"/>
    <w:rsid w:val="13CA1419"/>
    <w:rsid w:val="13D31CCD"/>
    <w:rsid w:val="13D67AF4"/>
    <w:rsid w:val="13DB748C"/>
    <w:rsid w:val="13E27A0E"/>
    <w:rsid w:val="13EF32A9"/>
    <w:rsid w:val="13F3790D"/>
    <w:rsid w:val="13FC6D2D"/>
    <w:rsid w:val="13FF5061"/>
    <w:rsid w:val="14045CA8"/>
    <w:rsid w:val="14050219"/>
    <w:rsid w:val="140A74EB"/>
    <w:rsid w:val="140C31E9"/>
    <w:rsid w:val="140D2FA5"/>
    <w:rsid w:val="141106FD"/>
    <w:rsid w:val="14115973"/>
    <w:rsid w:val="14130A37"/>
    <w:rsid w:val="14171CEA"/>
    <w:rsid w:val="14197547"/>
    <w:rsid w:val="141976CC"/>
    <w:rsid w:val="141A788D"/>
    <w:rsid w:val="142B38B4"/>
    <w:rsid w:val="1432061C"/>
    <w:rsid w:val="14344C83"/>
    <w:rsid w:val="14387484"/>
    <w:rsid w:val="143A00BF"/>
    <w:rsid w:val="14432F59"/>
    <w:rsid w:val="14445267"/>
    <w:rsid w:val="144466E5"/>
    <w:rsid w:val="144C03E9"/>
    <w:rsid w:val="144C1BEC"/>
    <w:rsid w:val="144D0044"/>
    <w:rsid w:val="144D505A"/>
    <w:rsid w:val="144E5BC2"/>
    <w:rsid w:val="145213E2"/>
    <w:rsid w:val="145356CF"/>
    <w:rsid w:val="14543DCC"/>
    <w:rsid w:val="145A670A"/>
    <w:rsid w:val="145B3C3F"/>
    <w:rsid w:val="145E5950"/>
    <w:rsid w:val="1462442E"/>
    <w:rsid w:val="14627567"/>
    <w:rsid w:val="14684232"/>
    <w:rsid w:val="146A41FB"/>
    <w:rsid w:val="146C17E6"/>
    <w:rsid w:val="14787F8F"/>
    <w:rsid w:val="147A54E1"/>
    <w:rsid w:val="147C4D44"/>
    <w:rsid w:val="147E2BCA"/>
    <w:rsid w:val="147E49D7"/>
    <w:rsid w:val="147F4021"/>
    <w:rsid w:val="14821318"/>
    <w:rsid w:val="14834A3F"/>
    <w:rsid w:val="148774F5"/>
    <w:rsid w:val="148B1493"/>
    <w:rsid w:val="148D67A9"/>
    <w:rsid w:val="1490314F"/>
    <w:rsid w:val="14942326"/>
    <w:rsid w:val="14954C58"/>
    <w:rsid w:val="14964E9B"/>
    <w:rsid w:val="14971A05"/>
    <w:rsid w:val="14982D93"/>
    <w:rsid w:val="14991979"/>
    <w:rsid w:val="149E3843"/>
    <w:rsid w:val="14A64146"/>
    <w:rsid w:val="14A768B8"/>
    <w:rsid w:val="14AD04C4"/>
    <w:rsid w:val="14AE1532"/>
    <w:rsid w:val="14AE65C4"/>
    <w:rsid w:val="14AF4AE6"/>
    <w:rsid w:val="14AF7BD6"/>
    <w:rsid w:val="14B03A10"/>
    <w:rsid w:val="14B40629"/>
    <w:rsid w:val="14B56BC5"/>
    <w:rsid w:val="14C177EA"/>
    <w:rsid w:val="14C51618"/>
    <w:rsid w:val="14C90386"/>
    <w:rsid w:val="14CE4E49"/>
    <w:rsid w:val="14D23510"/>
    <w:rsid w:val="14D60FAF"/>
    <w:rsid w:val="14D63F89"/>
    <w:rsid w:val="14D66C50"/>
    <w:rsid w:val="14D87D3B"/>
    <w:rsid w:val="14E1447F"/>
    <w:rsid w:val="14E8433B"/>
    <w:rsid w:val="14E91F9B"/>
    <w:rsid w:val="14EE7EE7"/>
    <w:rsid w:val="14F0231B"/>
    <w:rsid w:val="14F112DE"/>
    <w:rsid w:val="14F9228F"/>
    <w:rsid w:val="14FE7947"/>
    <w:rsid w:val="14FF29F3"/>
    <w:rsid w:val="150F1D82"/>
    <w:rsid w:val="15133C95"/>
    <w:rsid w:val="151C7583"/>
    <w:rsid w:val="15240C90"/>
    <w:rsid w:val="1525244D"/>
    <w:rsid w:val="1527613B"/>
    <w:rsid w:val="15280D7A"/>
    <w:rsid w:val="152C4917"/>
    <w:rsid w:val="15313204"/>
    <w:rsid w:val="1531441C"/>
    <w:rsid w:val="153D38F8"/>
    <w:rsid w:val="153F0C4E"/>
    <w:rsid w:val="153F2ABB"/>
    <w:rsid w:val="154408E3"/>
    <w:rsid w:val="15445008"/>
    <w:rsid w:val="154C5B6A"/>
    <w:rsid w:val="154E3A93"/>
    <w:rsid w:val="154E3AA4"/>
    <w:rsid w:val="1552416F"/>
    <w:rsid w:val="155640AB"/>
    <w:rsid w:val="155A22AD"/>
    <w:rsid w:val="155B76AA"/>
    <w:rsid w:val="1562787B"/>
    <w:rsid w:val="15633DF4"/>
    <w:rsid w:val="15680F78"/>
    <w:rsid w:val="156C401B"/>
    <w:rsid w:val="1576447F"/>
    <w:rsid w:val="15774559"/>
    <w:rsid w:val="15784F65"/>
    <w:rsid w:val="157F27DA"/>
    <w:rsid w:val="158179D5"/>
    <w:rsid w:val="15846B6E"/>
    <w:rsid w:val="15876424"/>
    <w:rsid w:val="15925909"/>
    <w:rsid w:val="15A256EE"/>
    <w:rsid w:val="15A91F3C"/>
    <w:rsid w:val="15AA3258"/>
    <w:rsid w:val="15AA6BA2"/>
    <w:rsid w:val="15AF17FA"/>
    <w:rsid w:val="15B41721"/>
    <w:rsid w:val="15B846EE"/>
    <w:rsid w:val="15BF0C00"/>
    <w:rsid w:val="15CB0909"/>
    <w:rsid w:val="15D27E18"/>
    <w:rsid w:val="15D3035E"/>
    <w:rsid w:val="15D44E2F"/>
    <w:rsid w:val="15DC5D46"/>
    <w:rsid w:val="15E252A8"/>
    <w:rsid w:val="15E728FE"/>
    <w:rsid w:val="15E82626"/>
    <w:rsid w:val="15ED62E6"/>
    <w:rsid w:val="15EE734D"/>
    <w:rsid w:val="15F86D43"/>
    <w:rsid w:val="15F977BC"/>
    <w:rsid w:val="15FC4602"/>
    <w:rsid w:val="15FE6BAB"/>
    <w:rsid w:val="15FF17AB"/>
    <w:rsid w:val="16030F5A"/>
    <w:rsid w:val="1605337F"/>
    <w:rsid w:val="16054483"/>
    <w:rsid w:val="1606091A"/>
    <w:rsid w:val="160734CA"/>
    <w:rsid w:val="160757F1"/>
    <w:rsid w:val="160E1484"/>
    <w:rsid w:val="16132722"/>
    <w:rsid w:val="1615164F"/>
    <w:rsid w:val="16181AD2"/>
    <w:rsid w:val="161D59CC"/>
    <w:rsid w:val="16201E6D"/>
    <w:rsid w:val="16225736"/>
    <w:rsid w:val="1631196C"/>
    <w:rsid w:val="16314DF2"/>
    <w:rsid w:val="1634220B"/>
    <w:rsid w:val="163740DE"/>
    <w:rsid w:val="163756D3"/>
    <w:rsid w:val="163D25E2"/>
    <w:rsid w:val="163E7756"/>
    <w:rsid w:val="16405348"/>
    <w:rsid w:val="164867F1"/>
    <w:rsid w:val="16490FE7"/>
    <w:rsid w:val="164C6A2E"/>
    <w:rsid w:val="1651220F"/>
    <w:rsid w:val="165E5DB7"/>
    <w:rsid w:val="16632E9F"/>
    <w:rsid w:val="166C00C2"/>
    <w:rsid w:val="16710883"/>
    <w:rsid w:val="16735B14"/>
    <w:rsid w:val="16750118"/>
    <w:rsid w:val="16792683"/>
    <w:rsid w:val="168306EC"/>
    <w:rsid w:val="168855E7"/>
    <w:rsid w:val="168903CD"/>
    <w:rsid w:val="16944753"/>
    <w:rsid w:val="16990D36"/>
    <w:rsid w:val="169927ED"/>
    <w:rsid w:val="169D7848"/>
    <w:rsid w:val="16A238FF"/>
    <w:rsid w:val="16A85CF5"/>
    <w:rsid w:val="16AA0331"/>
    <w:rsid w:val="16AB5515"/>
    <w:rsid w:val="16AC14D0"/>
    <w:rsid w:val="16AD3C64"/>
    <w:rsid w:val="16AF6275"/>
    <w:rsid w:val="16B211CE"/>
    <w:rsid w:val="16B75283"/>
    <w:rsid w:val="16BA046B"/>
    <w:rsid w:val="16C00116"/>
    <w:rsid w:val="16C0582B"/>
    <w:rsid w:val="16C81825"/>
    <w:rsid w:val="16CB6819"/>
    <w:rsid w:val="16CD08A4"/>
    <w:rsid w:val="16D160EC"/>
    <w:rsid w:val="16D42CC7"/>
    <w:rsid w:val="16D6450B"/>
    <w:rsid w:val="16E271F8"/>
    <w:rsid w:val="16E65697"/>
    <w:rsid w:val="16E74434"/>
    <w:rsid w:val="16E86D3E"/>
    <w:rsid w:val="16EA4C86"/>
    <w:rsid w:val="16EE40E3"/>
    <w:rsid w:val="16F1648A"/>
    <w:rsid w:val="16F3631A"/>
    <w:rsid w:val="16F471C0"/>
    <w:rsid w:val="16F56A31"/>
    <w:rsid w:val="16FC43F0"/>
    <w:rsid w:val="16FD1BD5"/>
    <w:rsid w:val="17033E53"/>
    <w:rsid w:val="1705041A"/>
    <w:rsid w:val="17056F1F"/>
    <w:rsid w:val="171E4261"/>
    <w:rsid w:val="17285DA9"/>
    <w:rsid w:val="172A7A52"/>
    <w:rsid w:val="172C344C"/>
    <w:rsid w:val="172C3DD5"/>
    <w:rsid w:val="172F7820"/>
    <w:rsid w:val="17340562"/>
    <w:rsid w:val="173B65C4"/>
    <w:rsid w:val="17413A24"/>
    <w:rsid w:val="17416459"/>
    <w:rsid w:val="174177FF"/>
    <w:rsid w:val="1743179F"/>
    <w:rsid w:val="17475EB9"/>
    <w:rsid w:val="174C4C4E"/>
    <w:rsid w:val="174E2E8C"/>
    <w:rsid w:val="17577717"/>
    <w:rsid w:val="17592F6D"/>
    <w:rsid w:val="175D259E"/>
    <w:rsid w:val="175D7C33"/>
    <w:rsid w:val="175F4B5F"/>
    <w:rsid w:val="176656E7"/>
    <w:rsid w:val="177F37F2"/>
    <w:rsid w:val="178A4348"/>
    <w:rsid w:val="178A7F4A"/>
    <w:rsid w:val="179862F0"/>
    <w:rsid w:val="17995E10"/>
    <w:rsid w:val="179B4858"/>
    <w:rsid w:val="179D2200"/>
    <w:rsid w:val="17A6736B"/>
    <w:rsid w:val="17A70F6E"/>
    <w:rsid w:val="17A84907"/>
    <w:rsid w:val="17B217E7"/>
    <w:rsid w:val="17B73706"/>
    <w:rsid w:val="17BC188D"/>
    <w:rsid w:val="17BD15B8"/>
    <w:rsid w:val="17BD77C1"/>
    <w:rsid w:val="17C46CDB"/>
    <w:rsid w:val="17C47B15"/>
    <w:rsid w:val="17C77138"/>
    <w:rsid w:val="17D45383"/>
    <w:rsid w:val="17D720F8"/>
    <w:rsid w:val="17D95235"/>
    <w:rsid w:val="17E80E0C"/>
    <w:rsid w:val="17EA0C06"/>
    <w:rsid w:val="17EF06BE"/>
    <w:rsid w:val="17F32411"/>
    <w:rsid w:val="17F32F01"/>
    <w:rsid w:val="17FD66B3"/>
    <w:rsid w:val="17FF509C"/>
    <w:rsid w:val="18016C4A"/>
    <w:rsid w:val="18024143"/>
    <w:rsid w:val="18054616"/>
    <w:rsid w:val="180A4BA1"/>
    <w:rsid w:val="180C3B09"/>
    <w:rsid w:val="180E506D"/>
    <w:rsid w:val="180E6352"/>
    <w:rsid w:val="1810453F"/>
    <w:rsid w:val="181A26F2"/>
    <w:rsid w:val="181B1D8F"/>
    <w:rsid w:val="181E5312"/>
    <w:rsid w:val="181F4B31"/>
    <w:rsid w:val="1820596B"/>
    <w:rsid w:val="182422AC"/>
    <w:rsid w:val="18276A44"/>
    <w:rsid w:val="182A285F"/>
    <w:rsid w:val="18300DA6"/>
    <w:rsid w:val="18311BCE"/>
    <w:rsid w:val="183420F5"/>
    <w:rsid w:val="183668A0"/>
    <w:rsid w:val="1838431E"/>
    <w:rsid w:val="18386170"/>
    <w:rsid w:val="18403D64"/>
    <w:rsid w:val="1843158B"/>
    <w:rsid w:val="18470E46"/>
    <w:rsid w:val="184A773B"/>
    <w:rsid w:val="184E0A3C"/>
    <w:rsid w:val="18540197"/>
    <w:rsid w:val="18544198"/>
    <w:rsid w:val="18557303"/>
    <w:rsid w:val="185D78A4"/>
    <w:rsid w:val="18692A6F"/>
    <w:rsid w:val="187758B5"/>
    <w:rsid w:val="18783E98"/>
    <w:rsid w:val="187A308B"/>
    <w:rsid w:val="187F2B5A"/>
    <w:rsid w:val="188C05A2"/>
    <w:rsid w:val="188D353E"/>
    <w:rsid w:val="18913BE4"/>
    <w:rsid w:val="18946B24"/>
    <w:rsid w:val="189750F8"/>
    <w:rsid w:val="18994930"/>
    <w:rsid w:val="189A4E94"/>
    <w:rsid w:val="189E09FB"/>
    <w:rsid w:val="18A25444"/>
    <w:rsid w:val="18A932C3"/>
    <w:rsid w:val="18AA38BF"/>
    <w:rsid w:val="18AC51E9"/>
    <w:rsid w:val="18AC64B2"/>
    <w:rsid w:val="18AF26DD"/>
    <w:rsid w:val="18B0272B"/>
    <w:rsid w:val="18B65174"/>
    <w:rsid w:val="18BB5AB7"/>
    <w:rsid w:val="18BC2DD0"/>
    <w:rsid w:val="18C018A5"/>
    <w:rsid w:val="18C042E5"/>
    <w:rsid w:val="18C066FF"/>
    <w:rsid w:val="18CD09A0"/>
    <w:rsid w:val="18CD1900"/>
    <w:rsid w:val="18CD50BA"/>
    <w:rsid w:val="18CE2D85"/>
    <w:rsid w:val="18CE6EED"/>
    <w:rsid w:val="18D24D07"/>
    <w:rsid w:val="18D45525"/>
    <w:rsid w:val="18D73D59"/>
    <w:rsid w:val="18D94055"/>
    <w:rsid w:val="18DA6EA6"/>
    <w:rsid w:val="18DE611A"/>
    <w:rsid w:val="18DF1899"/>
    <w:rsid w:val="18E304C9"/>
    <w:rsid w:val="18E41D77"/>
    <w:rsid w:val="18E666AB"/>
    <w:rsid w:val="18F029C4"/>
    <w:rsid w:val="18F152C3"/>
    <w:rsid w:val="18F17435"/>
    <w:rsid w:val="18F25B41"/>
    <w:rsid w:val="18F853DD"/>
    <w:rsid w:val="18FA5A6D"/>
    <w:rsid w:val="18FF3088"/>
    <w:rsid w:val="19003E3C"/>
    <w:rsid w:val="190A0AA2"/>
    <w:rsid w:val="190C2CCF"/>
    <w:rsid w:val="190C7DC1"/>
    <w:rsid w:val="191405A5"/>
    <w:rsid w:val="19176E37"/>
    <w:rsid w:val="191B2FB3"/>
    <w:rsid w:val="191C1D6E"/>
    <w:rsid w:val="191C2C7A"/>
    <w:rsid w:val="192120B1"/>
    <w:rsid w:val="19217965"/>
    <w:rsid w:val="19231175"/>
    <w:rsid w:val="192854F2"/>
    <w:rsid w:val="19293704"/>
    <w:rsid w:val="192A2356"/>
    <w:rsid w:val="192D3AE8"/>
    <w:rsid w:val="19331878"/>
    <w:rsid w:val="19337FB7"/>
    <w:rsid w:val="193649A2"/>
    <w:rsid w:val="193724A4"/>
    <w:rsid w:val="19396BBC"/>
    <w:rsid w:val="193A0A46"/>
    <w:rsid w:val="19430869"/>
    <w:rsid w:val="194F23DC"/>
    <w:rsid w:val="19555F1B"/>
    <w:rsid w:val="195C68F6"/>
    <w:rsid w:val="195E1A28"/>
    <w:rsid w:val="196D5077"/>
    <w:rsid w:val="196F4756"/>
    <w:rsid w:val="197013E5"/>
    <w:rsid w:val="19765DE2"/>
    <w:rsid w:val="198751C3"/>
    <w:rsid w:val="198951A6"/>
    <w:rsid w:val="198A2850"/>
    <w:rsid w:val="19901A87"/>
    <w:rsid w:val="19914093"/>
    <w:rsid w:val="19951628"/>
    <w:rsid w:val="199725DF"/>
    <w:rsid w:val="199870D6"/>
    <w:rsid w:val="19AF09D9"/>
    <w:rsid w:val="19AF18AA"/>
    <w:rsid w:val="19B010B2"/>
    <w:rsid w:val="19B233EC"/>
    <w:rsid w:val="19B300CB"/>
    <w:rsid w:val="19B87BF6"/>
    <w:rsid w:val="19BA1DDA"/>
    <w:rsid w:val="19BA31EA"/>
    <w:rsid w:val="19BF2452"/>
    <w:rsid w:val="19C574E2"/>
    <w:rsid w:val="19CD1856"/>
    <w:rsid w:val="19CF70B3"/>
    <w:rsid w:val="19D63414"/>
    <w:rsid w:val="19D67FA0"/>
    <w:rsid w:val="19D93C88"/>
    <w:rsid w:val="19DF74E2"/>
    <w:rsid w:val="19E43909"/>
    <w:rsid w:val="19E73171"/>
    <w:rsid w:val="19E83EB0"/>
    <w:rsid w:val="19EB1C07"/>
    <w:rsid w:val="19ED7D5F"/>
    <w:rsid w:val="19EE4EFC"/>
    <w:rsid w:val="19F4228B"/>
    <w:rsid w:val="19FE671D"/>
    <w:rsid w:val="19FE778E"/>
    <w:rsid w:val="19FF71B8"/>
    <w:rsid w:val="1A026477"/>
    <w:rsid w:val="1A03197E"/>
    <w:rsid w:val="1A0409B1"/>
    <w:rsid w:val="1A1C0C1D"/>
    <w:rsid w:val="1A1D6BE0"/>
    <w:rsid w:val="1A1D7EC9"/>
    <w:rsid w:val="1A275C6A"/>
    <w:rsid w:val="1A2B24DF"/>
    <w:rsid w:val="1A2E7B29"/>
    <w:rsid w:val="1A2E7E68"/>
    <w:rsid w:val="1A35281E"/>
    <w:rsid w:val="1A387342"/>
    <w:rsid w:val="1A3A3C44"/>
    <w:rsid w:val="1A4133F0"/>
    <w:rsid w:val="1A42166A"/>
    <w:rsid w:val="1A4E715D"/>
    <w:rsid w:val="1A500BE6"/>
    <w:rsid w:val="1A5C5229"/>
    <w:rsid w:val="1A633312"/>
    <w:rsid w:val="1A691041"/>
    <w:rsid w:val="1A6C59DF"/>
    <w:rsid w:val="1A6D564E"/>
    <w:rsid w:val="1A711F10"/>
    <w:rsid w:val="1A7251F8"/>
    <w:rsid w:val="1A725CAA"/>
    <w:rsid w:val="1A796949"/>
    <w:rsid w:val="1A7C35A6"/>
    <w:rsid w:val="1A8306ED"/>
    <w:rsid w:val="1A856E4D"/>
    <w:rsid w:val="1A8777C3"/>
    <w:rsid w:val="1A896163"/>
    <w:rsid w:val="1A8C0100"/>
    <w:rsid w:val="1A8C0463"/>
    <w:rsid w:val="1A8C214B"/>
    <w:rsid w:val="1A907197"/>
    <w:rsid w:val="1A997FC6"/>
    <w:rsid w:val="1AA171DF"/>
    <w:rsid w:val="1AA76EAC"/>
    <w:rsid w:val="1AA912D2"/>
    <w:rsid w:val="1AA95CFB"/>
    <w:rsid w:val="1AB26AE6"/>
    <w:rsid w:val="1AB35B0B"/>
    <w:rsid w:val="1AB83FC8"/>
    <w:rsid w:val="1AC60D3C"/>
    <w:rsid w:val="1AD25FA5"/>
    <w:rsid w:val="1AD26418"/>
    <w:rsid w:val="1AD64959"/>
    <w:rsid w:val="1ADE224C"/>
    <w:rsid w:val="1AE07CDB"/>
    <w:rsid w:val="1AE2484E"/>
    <w:rsid w:val="1AE85F18"/>
    <w:rsid w:val="1AEC390D"/>
    <w:rsid w:val="1AEF6517"/>
    <w:rsid w:val="1AF266FD"/>
    <w:rsid w:val="1B033D72"/>
    <w:rsid w:val="1B046825"/>
    <w:rsid w:val="1B0828D0"/>
    <w:rsid w:val="1B0B53FB"/>
    <w:rsid w:val="1B0F04FE"/>
    <w:rsid w:val="1B131123"/>
    <w:rsid w:val="1B1530FF"/>
    <w:rsid w:val="1B1668C3"/>
    <w:rsid w:val="1B201BF3"/>
    <w:rsid w:val="1B212E80"/>
    <w:rsid w:val="1B22274D"/>
    <w:rsid w:val="1B233ED4"/>
    <w:rsid w:val="1B2C69B6"/>
    <w:rsid w:val="1B346F97"/>
    <w:rsid w:val="1B35104F"/>
    <w:rsid w:val="1B3D79B2"/>
    <w:rsid w:val="1B461AFE"/>
    <w:rsid w:val="1B480C06"/>
    <w:rsid w:val="1B4B3C10"/>
    <w:rsid w:val="1B5050A3"/>
    <w:rsid w:val="1B507B57"/>
    <w:rsid w:val="1B514618"/>
    <w:rsid w:val="1B515EE6"/>
    <w:rsid w:val="1B565FB5"/>
    <w:rsid w:val="1B57087A"/>
    <w:rsid w:val="1B5B0DE0"/>
    <w:rsid w:val="1B60543F"/>
    <w:rsid w:val="1B632CF8"/>
    <w:rsid w:val="1B644A00"/>
    <w:rsid w:val="1B6C540C"/>
    <w:rsid w:val="1B744C85"/>
    <w:rsid w:val="1B7E0A19"/>
    <w:rsid w:val="1B863FC4"/>
    <w:rsid w:val="1B867FA1"/>
    <w:rsid w:val="1B8A27E3"/>
    <w:rsid w:val="1B8F7D1E"/>
    <w:rsid w:val="1B994EFA"/>
    <w:rsid w:val="1BA07D8B"/>
    <w:rsid w:val="1BA1301A"/>
    <w:rsid w:val="1BA40BFB"/>
    <w:rsid w:val="1BA52DD8"/>
    <w:rsid w:val="1BAB2896"/>
    <w:rsid w:val="1BB65D00"/>
    <w:rsid w:val="1BBB0C75"/>
    <w:rsid w:val="1BBE0189"/>
    <w:rsid w:val="1BC33C3A"/>
    <w:rsid w:val="1BC37998"/>
    <w:rsid w:val="1BC446DE"/>
    <w:rsid w:val="1BC856B0"/>
    <w:rsid w:val="1BCF45E3"/>
    <w:rsid w:val="1BDB656E"/>
    <w:rsid w:val="1BDF5D1C"/>
    <w:rsid w:val="1BF16EED"/>
    <w:rsid w:val="1BF36081"/>
    <w:rsid w:val="1BF43EC0"/>
    <w:rsid w:val="1BF442BF"/>
    <w:rsid w:val="1BF874C7"/>
    <w:rsid w:val="1BFA0258"/>
    <w:rsid w:val="1BFE6261"/>
    <w:rsid w:val="1C007798"/>
    <w:rsid w:val="1C0450A9"/>
    <w:rsid w:val="1C0536DB"/>
    <w:rsid w:val="1C0C400C"/>
    <w:rsid w:val="1C0C582B"/>
    <w:rsid w:val="1C0D146B"/>
    <w:rsid w:val="1C0E7AFA"/>
    <w:rsid w:val="1C1620D0"/>
    <w:rsid w:val="1C1F1330"/>
    <w:rsid w:val="1C226A0C"/>
    <w:rsid w:val="1C266B3E"/>
    <w:rsid w:val="1C276C6E"/>
    <w:rsid w:val="1C282FA4"/>
    <w:rsid w:val="1C2C0D43"/>
    <w:rsid w:val="1C2D6811"/>
    <w:rsid w:val="1C383519"/>
    <w:rsid w:val="1C3E4257"/>
    <w:rsid w:val="1C402AF7"/>
    <w:rsid w:val="1C434C7D"/>
    <w:rsid w:val="1C4447D4"/>
    <w:rsid w:val="1C491B04"/>
    <w:rsid w:val="1C4956C3"/>
    <w:rsid w:val="1C4B6F77"/>
    <w:rsid w:val="1C4D47CC"/>
    <w:rsid w:val="1C4F2AFB"/>
    <w:rsid w:val="1C532125"/>
    <w:rsid w:val="1C643716"/>
    <w:rsid w:val="1C68343D"/>
    <w:rsid w:val="1C740581"/>
    <w:rsid w:val="1C773279"/>
    <w:rsid w:val="1C793C09"/>
    <w:rsid w:val="1C795CCD"/>
    <w:rsid w:val="1C7A153F"/>
    <w:rsid w:val="1C7F6DF3"/>
    <w:rsid w:val="1C816A3C"/>
    <w:rsid w:val="1C834A0B"/>
    <w:rsid w:val="1C862426"/>
    <w:rsid w:val="1C870F20"/>
    <w:rsid w:val="1C8B5AE4"/>
    <w:rsid w:val="1C8C0FAB"/>
    <w:rsid w:val="1C8C3533"/>
    <w:rsid w:val="1C8F204C"/>
    <w:rsid w:val="1C9076A4"/>
    <w:rsid w:val="1C94311C"/>
    <w:rsid w:val="1C96650B"/>
    <w:rsid w:val="1C976A09"/>
    <w:rsid w:val="1C9A0360"/>
    <w:rsid w:val="1C9C3324"/>
    <w:rsid w:val="1C9C56DA"/>
    <w:rsid w:val="1CA113D2"/>
    <w:rsid w:val="1CA918FE"/>
    <w:rsid w:val="1CB14B9C"/>
    <w:rsid w:val="1CB576F8"/>
    <w:rsid w:val="1CBF1CE6"/>
    <w:rsid w:val="1CC423B3"/>
    <w:rsid w:val="1CD10497"/>
    <w:rsid w:val="1CD524B8"/>
    <w:rsid w:val="1CD613FE"/>
    <w:rsid w:val="1CDA6550"/>
    <w:rsid w:val="1CE16BFA"/>
    <w:rsid w:val="1CE23A53"/>
    <w:rsid w:val="1CE65C4B"/>
    <w:rsid w:val="1CEA7CDC"/>
    <w:rsid w:val="1CEC559F"/>
    <w:rsid w:val="1CEF7482"/>
    <w:rsid w:val="1CF13383"/>
    <w:rsid w:val="1CF14A28"/>
    <w:rsid w:val="1CF271F1"/>
    <w:rsid w:val="1CF51212"/>
    <w:rsid w:val="1CFB0930"/>
    <w:rsid w:val="1D002E33"/>
    <w:rsid w:val="1D0104BF"/>
    <w:rsid w:val="1D027C2C"/>
    <w:rsid w:val="1D0330EB"/>
    <w:rsid w:val="1D042626"/>
    <w:rsid w:val="1D0923F8"/>
    <w:rsid w:val="1D0B36E9"/>
    <w:rsid w:val="1D0D5111"/>
    <w:rsid w:val="1D164838"/>
    <w:rsid w:val="1D164DE1"/>
    <w:rsid w:val="1D197541"/>
    <w:rsid w:val="1D1B1BB8"/>
    <w:rsid w:val="1D1C403E"/>
    <w:rsid w:val="1D220031"/>
    <w:rsid w:val="1D257F75"/>
    <w:rsid w:val="1D26306F"/>
    <w:rsid w:val="1D286E19"/>
    <w:rsid w:val="1D2D0B72"/>
    <w:rsid w:val="1D2E6B68"/>
    <w:rsid w:val="1D3366D6"/>
    <w:rsid w:val="1D351E08"/>
    <w:rsid w:val="1D372A25"/>
    <w:rsid w:val="1D38528F"/>
    <w:rsid w:val="1D3D299D"/>
    <w:rsid w:val="1D3D712E"/>
    <w:rsid w:val="1D445433"/>
    <w:rsid w:val="1D453684"/>
    <w:rsid w:val="1D453D95"/>
    <w:rsid w:val="1D46017A"/>
    <w:rsid w:val="1D48548E"/>
    <w:rsid w:val="1D4B2D93"/>
    <w:rsid w:val="1D5459C1"/>
    <w:rsid w:val="1D566260"/>
    <w:rsid w:val="1D587F98"/>
    <w:rsid w:val="1D592387"/>
    <w:rsid w:val="1D5949D5"/>
    <w:rsid w:val="1D5A3C34"/>
    <w:rsid w:val="1D5E449C"/>
    <w:rsid w:val="1D613A9D"/>
    <w:rsid w:val="1D62292A"/>
    <w:rsid w:val="1D6543B7"/>
    <w:rsid w:val="1D6727D6"/>
    <w:rsid w:val="1D74439D"/>
    <w:rsid w:val="1D751ED1"/>
    <w:rsid w:val="1D7B54DF"/>
    <w:rsid w:val="1D8867DB"/>
    <w:rsid w:val="1D8F5515"/>
    <w:rsid w:val="1D906D83"/>
    <w:rsid w:val="1D914AA6"/>
    <w:rsid w:val="1D9714BE"/>
    <w:rsid w:val="1D986BD8"/>
    <w:rsid w:val="1D9A31E5"/>
    <w:rsid w:val="1D9A4A02"/>
    <w:rsid w:val="1D9B12B8"/>
    <w:rsid w:val="1D9F1F32"/>
    <w:rsid w:val="1D9F704A"/>
    <w:rsid w:val="1DA375C8"/>
    <w:rsid w:val="1DA430D0"/>
    <w:rsid w:val="1DA50EC4"/>
    <w:rsid w:val="1DA879B8"/>
    <w:rsid w:val="1DA95A17"/>
    <w:rsid w:val="1DAA3451"/>
    <w:rsid w:val="1DB50D2D"/>
    <w:rsid w:val="1DC52355"/>
    <w:rsid w:val="1DCA651A"/>
    <w:rsid w:val="1DCE1EFD"/>
    <w:rsid w:val="1DD03B83"/>
    <w:rsid w:val="1DD16FF4"/>
    <w:rsid w:val="1DD41882"/>
    <w:rsid w:val="1DD74972"/>
    <w:rsid w:val="1DDE3938"/>
    <w:rsid w:val="1DE12CA8"/>
    <w:rsid w:val="1DEF0743"/>
    <w:rsid w:val="1DF63651"/>
    <w:rsid w:val="1DF7694C"/>
    <w:rsid w:val="1DFA390F"/>
    <w:rsid w:val="1DFA4AF9"/>
    <w:rsid w:val="1DFD656B"/>
    <w:rsid w:val="1E002AA4"/>
    <w:rsid w:val="1E045288"/>
    <w:rsid w:val="1E087431"/>
    <w:rsid w:val="1E0D42CA"/>
    <w:rsid w:val="1E0D4BDF"/>
    <w:rsid w:val="1E0D5783"/>
    <w:rsid w:val="1E101D1B"/>
    <w:rsid w:val="1E160FF9"/>
    <w:rsid w:val="1E246D53"/>
    <w:rsid w:val="1E2A5C78"/>
    <w:rsid w:val="1E3074DF"/>
    <w:rsid w:val="1E340318"/>
    <w:rsid w:val="1E347212"/>
    <w:rsid w:val="1E347774"/>
    <w:rsid w:val="1E366179"/>
    <w:rsid w:val="1E384B99"/>
    <w:rsid w:val="1E3E7572"/>
    <w:rsid w:val="1E3F6B70"/>
    <w:rsid w:val="1E432A31"/>
    <w:rsid w:val="1E586088"/>
    <w:rsid w:val="1E607527"/>
    <w:rsid w:val="1E623708"/>
    <w:rsid w:val="1E625ABC"/>
    <w:rsid w:val="1E6644E6"/>
    <w:rsid w:val="1E6A4200"/>
    <w:rsid w:val="1E6B3481"/>
    <w:rsid w:val="1E6D797E"/>
    <w:rsid w:val="1E6E0D27"/>
    <w:rsid w:val="1E743267"/>
    <w:rsid w:val="1E7B0866"/>
    <w:rsid w:val="1E7B7D05"/>
    <w:rsid w:val="1E8159E8"/>
    <w:rsid w:val="1E8B1BC6"/>
    <w:rsid w:val="1E8B66EF"/>
    <w:rsid w:val="1E8E1C2A"/>
    <w:rsid w:val="1E94598C"/>
    <w:rsid w:val="1E9C4A3B"/>
    <w:rsid w:val="1E9F5E64"/>
    <w:rsid w:val="1EA02814"/>
    <w:rsid w:val="1EB31ED7"/>
    <w:rsid w:val="1ECB1E25"/>
    <w:rsid w:val="1ECB40D2"/>
    <w:rsid w:val="1ECE1E3A"/>
    <w:rsid w:val="1ED144AC"/>
    <w:rsid w:val="1ED52E16"/>
    <w:rsid w:val="1ED65260"/>
    <w:rsid w:val="1EDE26E6"/>
    <w:rsid w:val="1EE43963"/>
    <w:rsid w:val="1EE76F0E"/>
    <w:rsid w:val="1EEC6405"/>
    <w:rsid w:val="1EF10217"/>
    <w:rsid w:val="1EF139BF"/>
    <w:rsid w:val="1EFF43BD"/>
    <w:rsid w:val="1F04421F"/>
    <w:rsid w:val="1F072AB3"/>
    <w:rsid w:val="1F0E3CA6"/>
    <w:rsid w:val="1F1029B2"/>
    <w:rsid w:val="1F105183"/>
    <w:rsid w:val="1F1339FF"/>
    <w:rsid w:val="1F170A07"/>
    <w:rsid w:val="1F1821BE"/>
    <w:rsid w:val="1F18241E"/>
    <w:rsid w:val="1F1A1234"/>
    <w:rsid w:val="1F2212AF"/>
    <w:rsid w:val="1F280AFF"/>
    <w:rsid w:val="1F2964D2"/>
    <w:rsid w:val="1F311B59"/>
    <w:rsid w:val="1F367001"/>
    <w:rsid w:val="1F384DC8"/>
    <w:rsid w:val="1F491972"/>
    <w:rsid w:val="1F4B2619"/>
    <w:rsid w:val="1F4E2A8D"/>
    <w:rsid w:val="1F4F631E"/>
    <w:rsid w:val="1F5275F4"/>
    <w:rsid w:val="1F5546C2"/>
    <w:rsid w:val="1F581D2E"/>
    <w:rsid w:val="1F5A5C1F"/>
    <w:rsid w:val="1F5D7E89"/>
    <w:rsid w:val="1F5F0E95"/>
    <w:rsid w:val="1F6A1488"/>
    <w:rsid w:val="1F732C89"/>
    <w:rsid w:val="1F76576F"/>
    <w:rsid w:val="1F782B1C"/>
    <w:rsid w:val="1F7846DC"/>
    <w:rsid w:val="1F7C4664"/>
    <w:rsid w:val="1F7C64F1"/>
    <w:rsid w:val="1F7C6ADA"/>
    <w:rsid w:val="1F831258"/>
    <w:rsid w:val="1F84183B"/>
    <w:rsid w:val="1F85619C"/>
    <w:rsid w:val="1F8C12D6"/>
    <w:rsid w:val="1F9778E9"/>
    <w:rsid w:val="1FA81B99"/>
    <w:rsid w:val="1FA93D03"/>
    <w:rsid w:val="1FA95541"/>
    <w:rsid w:val="1FAB063B"/>
    <w:rsid w:val="1FAD7D3B"/>
    <w:rsid w:val="1FBA1414"/>
    <w:rsid w:val="1FBB0148"/>
    <w:rsid w:val="1FBE7DE3"/>
    <w:rsid w:val="1FBF5BB2"/>
    <w:rsid w:val="1FC70C9E"/>
    <w:rsid w:val="1FCB3D49"/>
    <w:rsid w:val="1FCC4BE6"/>
    <w:rsid w:val="1FCF095F"/>
    <w:rsid w:val="1FD60A02"/>
    <w:rsid w:val="1FE107F6"/>
    <w:rsid w:val="1FE27733"/>
    <w:rsid w:val="1FE9052B"/>
    <w:rsid w:val="1FE91329"/>
    <w:rsid w:val="1FEC4239"/>
    <w:rsid w:val="1FEE4225"/>
    <w:rsid w:val="1FF07547"/>
    <w:rsid w:val="1FF417E2"/>
    <w:rsid w:val="1FF65319"/>
    <w:rsid w:val="1FF76B64"/>
    <w:rsid w:val="1FFA6170"/>
    <w:rsid w:val="20053BA9"/>
    <w:rsid w:val="20070B58"/>
    <w:rsid w:val="200B416D"/>
    <w:rsid w:val="200B5FDE"/>
    <w:rsid w:val="200F3388"/>
    <w:rsid w:val="2011292A"/>
    <w:rsid w:val="20132029"/>
    <w:rsid w:val="20133D94"/>
    <w:rsid w:val="201A1FA5"/>
    <w:rsid w:val="201C01A9"/>
    <w:rsid w:val="20231DED"/>
    <w:rsid w:val="202B706C"/>
    <w:rsid w:val="202F579D"/>
    <w:rsid w:val="203052B8"/>
    <w:rsid w:val="20330124"/>
    <w:rsid w:val="2034691E"/>
    <w:rsid w:val="20377D72"/>
    <w:rsid w:val="203B133F"/>
    <w:rsid w:val="203D5FD3"/>
    <w:rsid w:val="203E1E44"/>
    <w:rsid w:val="204A756C"/>
    <w:rsid w:val="204C1E8E"/>
    <w:rsid w:val="204E308A"/>
    <w:rsid w:val="204F309C"/>
    <w:rsid w:val="20540542"/>
    <w:rsid w:val="205433E1"/>
    <w:rsid w:val="205619FE"/>
    <w:rsid w:val="205B3BF9"/>
    <w:rsid w:val="205E4E31"/>
    <w:rsid w:val="20605767"/>
    <w:rsid w:val="2066692A"/>
    <w:rsid w:val="20696E49"/>
    <w:rsid w:val="206B1481"/>
    <w:rsid w:val="206B3CE2"/>
    <w:rsid w:val="206D66C3"/>
    <w:rsid w:val="20707115"/>
    <w:rsid w:val="20726AFB"/>
    <w:rsid w:val="20745240"/>
    <w:rsid w:val="207515D6"/>
    <w:rsid w:val="20754854"/>
    <w:rsid w:val="207B63C2"/>
    <w:rsid w:val="20827973"/>
    <w:rsid w:val="208B4908"/>
    <w:rsid w:val="208F58AE"/>
    <w:rsid w:val="20923EB3"/>
    <w:rsid w:val="209411F8"/>
    <w:rsid w:val="209F5676"/>
    <w:rsid w:val="20A4166E"/>
    <w:rsid w:val="20A771B0"/>
    <w:rsid w:val="20AE596D"/>
    <w:rsid w:val="20B74027"/>
    <w:rsid w:val="20B759AB"/>
    <w:rsid w:val="20B90A79"/>
    <w:rsid w:val="20BC6C8D"/>
    <w:rsid w:val="20BE4CFE"/>
    <w:rsid w:val="20CA603C"/>
    <w:rsid w:val="20CC1715"/>
    <w:rsid w:val="20CE2143"/>
    <w:rsid w:val="20D21863"/>
    <w:rsid w:val="20DB3254"/>
    <w:rsid w:val="20DC3A82"/>
    <w:rsid w:val="20DC4A46"/>
    <w:rsid w:val="20E07EB7"/>
    <w:rsid w:val="20E17B2D"/>
    <w:rsid w:val="20E41DCC"/>
    <w:rsid w:val="20EB2810"/>
    <w:rsid w:val="20EB4167"/>
    <w:rsid w:val="20F17154"/>
    <w:rsid w:val="20F17FB7"/>
    <w:rsid w:val="20F24853"/>
    <w:rsid w:val="21077EDF"/>
    <w:rsid w:val="210A621D"/>
    <w:rsid w:val="21126473"/>
    <w:rsid w:val="21182D6C"/>
    <w:rsid w:val="211A458F"/>
    <w:rsid w:val="212D001A"/>
    <w:rsid w:val="212F3CA3"/>
    <w:rsid w:val="213B655C"/>
    <w:rsid w:val="213C4385"/>
    <w:rsid w:val="213E5E94"/>
    <w:rsid w:val="213E6634"/>
    <w:rsid w:val="2140194E"/>
    <w:rsid w:val="21440320"/>
    <w:rsid w:val="214965E9"/>
    <w:rsid w:val="214D5965"/>
    <w:rsid w:val="21526463"/>
    <w:rsid w:val="215267F9"/>
    <w:rsid w:val="21561E44"/>
    <w:rsid w:val="21573AF7"/>
    <w:rsid w:val="21585708"/>
    <w:rsid w:val="21644F31"/>
    <w:rsid w:val="21656A6F"/>
    <w:rsid w:val="21683262"/>
    <w:rsid w:val="216B64D9"/>
    <w:rsid w:val="21720506"/>
    <w:rsid w:val="21786106"/>
    <w:rsid w:val="21786E87"/>
    <w:rsid w:val="217931E8"/>
    <w:rsid w:val="217972E5"/>
    <w:rsid w:val="217B1FE4"/>
    <w:rsid w:val="217F1046"/>
    <w:rsid w:val="21865A85"/>
    <w:rsid w:val="218A462F"/>
    <w:rsid w:val="218C4C45"/>
    <w:rsid w:val="219932FA"/>
    <w:rsid w:val="219B24E6"/>
    <w:rsid w:val="21A606AA"/>
    <w:rsid w:val="21A65434"/>
    <w:rsid w:val="21A776AF"/>
    <w:rsid w:val="21AE4F3D"/>
    <w:rsid w:val="21B42214"/>
    <w:rsid w:val="21D019B2"/>
    <w:rsid w:val="21D2450B"/>
    <w:rsid w:val="21D52080"/>
    <w:rsid w:val="21D6702F"/>
    <w:rsid w:val="21E347E0"/>
    <w:rsid w:val="21ED4096"/>
    <w:rsid w:val="21EF4537"/>
    <w:rsid w:val="21F00F67"/>
    <w:rsid w:val="21F32B72"/>
    <w:rsid w:val="21F6345B"/>
    <w:rsid w:val="21FE215C"/>
    <w:rsid w:val="22076180"/>
    <w:rsid w:val="22091044"/>
    <w:rsid w:val="220E407A"/>
    <w:rsid w:val="22103A69"/>
    <w:rsid w:val="221D78F3"/>
    <w:rsid w:val="221E5D17"/>
    <w:rsid w:val="22272312"/>
    <w:rsid w:val="2229345B"/>
    <w:rsid w:val="222979C5"/>
    <w:rsid w:val="222F2680"/>
    <w:rsid w:val="22343541"/>
    <w:rsid w:val="22374067"/>
    <w:rsid w:val="223A3DCC"/>
    <w:rsid w:val="223B13F2"/>
    <w:rsid w:val="223B1706"/>
    <w:rsid w:val="223B6A62"/>
    <w:rsid w:val="223C6C11"/>
    <w:rsid w:val="224232CA"/>
    <w:rsid w:val="225A0C26"/>
    <w:rsid w:val="22636C07"/>
    <w:rsid w:val="22847C1A"/>
    <w:rsid w:val="228B0FD3"/>
    <w:rsid w:val="228D10A8"/>
    <w:rsid w:val="228D30CE"/>
    <w:rsid w:val="229418BF"/>
    <w:rsid w:val="22947E66"/>
    <w:rsid w:val="229651E4"/>
    <w:rsid w:val="229C2488"/>
    <w:rsid w:val="22A25E85"/>
    <w:rsid w:val="22A9009C"/>
    <w:rsid w:val="22AA15FA"/>
    <w:rsid w:val="22AB7AC2"/>
    <w:rsid w:val="22B469B2"/>
    <w:rsid w:val="22B51467"/>
    <w:rsid w:val="22C207C2"/>
    <w:rsid w:val="22CD0468"/>
    <w:rsid w:val="22D31038"/>
    <w:rsid w:val="22D53E11"/>
    <w:rsid w:val="22D73079"/>
    <w:rsid w:val="22E441FF"/>
    <w:rsid w:val="22E74771"/>
    <w:rsid w:val="22E8682E"/>
    <w:rsid w:val="22E95562"/>
    <w:rsid w:val="22EB7A69"/>
    <w:rsid w:val="22ED4C21"/>
    <w:rsid w:val="22F372D4"/>
    <w:rsid w:val="22F524F7"/>
    <w:rsid w:val="22F60703"/>
    <w:rsid w:val="22F634DB"/>
    <w:rsid w:val="23016D89"/>
    <w:rsid w:val="23020F4D"/>
    <w:rsid w:val="230C6155"/>
    <w:rsid w:val="230E502C"/>
    <w:rsid w:val="23115F87"/>
    <w:rsid w:val="2313292F"/>
    <w:rsid w:val="23156C99"/>
    <w:rsid w:val="231C03E6"/>
    <w:rsid w:val="231D79E9"/>
    <w:rsid w:val="232000DA"/>
    <w:rsid w:val="23241AE9"/>
    <w:rsid w:val="23242571"/>
    <w:rsid w:val="23245359"/>
    <w:rsid w:val="2326353C"/>
    <w:rsid w:val="23270374"/>
    <w:rsid w:val="23281F3F"/>
    <w:rsid w:val="232B6715"/>
    <w:rsid w:val="232D5A8A"/>
    <w:rsid w:val="232E762F"/>
    <w:rsid w:val="232F1F3E"/>
    <w:rsid w:val="23311AB2"/>
    <w:rsid w:val="234217D8"/>
    <w:rsid w:val="234879F6"/>
    <w:rsid w:val="23504B19"/>
    <w:rsid w:val="23516E26"/>
    <w:rsid w:val="235A077B"/>
    <w:rsid w:val="235C72D8"/>
    <w:rsid w:val="235E08B7"/>
    <w:rsid w:val="235F4E93"/>
    <w:rsid w:val="23644BED"/>
    <w:rsid w:val="237137FB"/>
    <w:rsid w:val="237E4CC8"/>
    <w:rsid w:val="23837B93"/>
    <w:rsid w:val="23882BC7"/>
    <w:rsid w:val="239357F9"/>
    <w:rsid w:val="2394408C"/>
    <w:rsid w:val="23955C07"/>
    <w:rsid w:val="239E2BC2"/>
    <w:rsid w:val="23A32E6B"/>
    <w:rsid w:val="23A40EE0"/>
    <w:rsid w:val="23A5237E"/>
    <w:rsid w:val="23A67DE6"/>
    <w:rsid w:val="23A90623"/>
    <w:rsid w:val="23AB6D5F"/>
    <w:rsid w:val="23B07918"/>
    <w:rsid w:val="23B1461A"/>
    <w:rsid w:val="23B6556C"/>
    <w:rsid w:val="23B70BA7"/>
    <w:rsid w:val="23B77ABF"/>
    <w:rsid w:val="23BC493E"/>
    <w:rsid w:val="23BE775C"/>
    <w:rsid w:val="23BF0D4B"/>
    <w:rsid w:val="23C14AF7"/>
    <w:rsid w:val="23C50C07"/>
    <w:rsid w:val="23CC1F32"/>
    <w:rsid w:val="23CE5891"/>
    <w:rsid w:val="23D12E6B"/>
    <w:rsid w:val="23D5611F"/>
    <w:rsid w:val="23D61F41"/>
    <w:rsid w:val="23D742C2"/>
    <w:rsid w:val="23DC5330"/>
    <w:rsid w:val="23DE0220"/>
    <w:rsid w:val="23E20A28"/>
    <w:rsid w:val="23E819EE"/>
    <w:rsid w:val="23F06C6E"/>
    <w:rsid w:val="23F41C4E"/>
    <w:rsid w:val="23F46E1B"/>
    <w:rsid w:val="24004C55"/>
    <w:rsid w:val="24014249"/>
    <w:rsid w:val="24014F79"/>
    <w:rsid w:val="24017E07"/>
    <w:rsid w:val="24063C2A"/>
    <w:rsid w:val="240C3B04"/>
    <w:rsid w:val="24117156"/>
    <w:rsid w:val="24177063"/>
    <w:rsid w:val="241F4C5C"/>
    <w:rsid w:val="24224EF1"/>
    <w:rsid w:val="24230E2B"/>
    <w:rsid w:val="24264C5D"/>
    <w:rsid w:val="242950D8"/>
    <w:rsid w:val="242B2075"/>
    <w:rsid w:val="24330306"/>
    <w:rsid w:val="243B00E3"/>
    <w:rsid w:val="243D15B8"/>
    <w:rsid w:val="243D2F19"/>
    <w:rsid w:val="24440485"/>
    <w:rsid w:val="244A43FE"/>
    <w:rsid w:val="24507B39"/>
    <w:rsid w:val="24547F01"/>
    <w:rsid w:val="2456627A"/>
    <w:rsid w:val="245C1500"/>
    <w:rsid w:val="245F7E21"/>
    <w:rsid w:val="2474713B"/>
    <w:rsid w:val="2477153F"/>
    <w:rsid w:val="24783561"/>
    <w:rsid w:val="247B5F13"/>
    <w:rsid w:val="247C21E2"/>
    <w:rsid w:val="247D1E9E"/>
    <w:rsid w:val="24817A23"/>
    <w:rsid w:val="24895EDF"/>
    <w:rsid w:val="24912865"/>
    <w:rsid w:val="24913480"/>
    <w:rsid w:val="24930C82"/>
    <w:rsid w:val="24936526"/>
    <w:rsid w:val="249405BB"/>
    <w:rsid w:val="249E1A4F"/>
    <w:rsid w:val="249E5FEC"/>
    <w:rsid w:val="249F670E"/>
    <w:rsid w:val="249F75BF"/>
    <w:rsid w:val="24A234AD"/>
    <w:rsid w:val="24A85128"/>
    <w:rsid w:val="24AA2F03"/>
    <w:rsid w:val="24AC70A7"/>
    <w:rsid w:val="24AF7EBD"/>
    <w:rsid w:val="24B014C3"/>
    <w:rsid w:val="24B541B0"/>
    <w:rsid w:val="24B6416E"/>
    <w:rsid w:val="24B923FD"/>
    <w:rsid w:val="24BA50B1"/>
    <w:rsid w:val="24BB292C"/>
    <w:rsid w:val="24CA4C9E"/>
    <w:rsid w:val="24CA6C0C"/>
    <w:rsid w:val="24D26F10"/>
    <w:rsid w:val="24D9459F"/>
    <w:rsid w:val="24DF00EF"/>
    <w:rsid w:val="24E20023"/>
    <w:rsid w:val="24E348E3"/>
    <w:rsid w:val="24F15519"/>
    <w:rsid w:val="24F64D53"/>
    <w:rsid w:val="24FD76A8"/>
    <w:rsid w:val="25044EC8"/>
    <w:rsid w:val="25090975"/>
    <w:rsid w:val="250D4262"/>
    <w:rsid w:val="2512772B"/>
    <w:rsid w:val="25135268"/>
    <w:rsid w:val="251F48C3"/>
    <w:rsid w:val="252A1AEE"/>
    <w:rsid w:val="252A64E9"/>
    <w:rsid w:val="25315E47"/>
    <w:rsid w:val="25344A92"/>
    <w:rsid w:val="25347132"/>
    <w:rsid w:val="25363FEC"/>
    <w:rsid w:val="25413531"/>
    <w:rsid w:val="25484A4F"/>
    <w:rsid w:val="254B01A3"/>
    <w:rsid w:val="254B4B32"/>
    <w:rsid w:val="254F63AD"/>
    <w:rsid w:val="25527146"/>
    <w:rsid w:val="25542C2B"/>
    <w:rsid w:val="255C551D"/>
    <w:rsid w:val="25621704"/>
    <w:rsid w:val="25640642"/>
    <w:rsid w:val="25700D61"/>
    <w:rsid w:val="25794E3B"/>
    <w:rsid w:val="257D6A9E"/>
    <w:rsid w:val="25864A77"/>
    <w:rsid w:val="25913128"/>
    <w:rsid w:val="25986C76"/>
    <w:rsid w:val="259A2206"/>
    <w:rsid w:val="259A33C9"/>
    <w:rsid w:val="259E5167"/>
    <w:rsid w:val="25B05862"/>
    <w:rsid w:val="25B21BAF"/>
    <w:rsid w:val="25B33565"/>
    <w:rsid w:val="25B61ED0"/>
    <w:rsid w:val="25B97D89"/>
    <w:rsid w:val="25C21102"/>
    <w:rsid w:val="25C65ADC"/>
    <w:rsid w:val="25CA058B"/>
    <w:rsid w:val="25CD7B05"/>
    <w:rsid w:val="25CE2B39"/>
    <w:rsid w:val="25CF1458"/>
    <w:rsid w:val="25D90644"/>
    <w:rsid w:val="25E343FA"/>
    <w:rsid w:val="25E40D3A"/>
    <w:rsid w:val="25E4534A"/>
    <w:rsid w:val="25E64398"/>
    <w:rsid w:val="25F14F65"/>
    <w:rsid w:val="25F55A2C"/>
    <w:rsid w:val="25F61EE2"/>
    <w:rsid w:val="2601001C"/>
    <w:rsid w:val="260235C7"/>
    <w:rsid w:val="26082387"/>
    <w:rsid w:val="260D087F"/>
    <w:rsid w:val="260E72E9"/>
    <w:rsid w:val="26137693"/>
    <w:rsid w:val="2614156A"/>
    <w:rsid w:val="26171802"/>
    <w:rsid w:val="26192D60"/>
    <w:rsid w:val="2619754E"/>
    <w:rsid w:val="26204B01"/>
    <w:rsid w:val="262858C9"/>
    <w:rsid w:val="2631360F"/>
    <w:rsid w:val="263169A5"/>
    <w:rsid w:val="26326702"/>
    <w:rsid w:val="263740A3"/>
    <w:rsid w:val="263913EE"/>
    <w:rsid w:val="26397808"/>
    <w:rsid w:val="263A2BE6"/>
    <w:rsid w:val="26467615"/>
    <w:rsid w:val="264B5120"/>
    <w:rsid w:val="264D7AC3"/>
    <w:rsid w:val="264F1ED9"/>
    <w:rsid w:val="26526189"/>
    <w:rsid w:val="26576C6E"/>
    <w:rsid w:val="265E26DA"/>
    <w:rsid w:val="26600CC3"/>
    <w:rsid w:val="266379D6"/>
    <w:rsid w:val="26655EC4"/>
    <w:rsid w:val="26670E60"/>
    <w:rsid w:val="2668044D"/>
    <w:rsid w:val="26732307"/>
    <w:rsid w:val="267718D9"/>
    <w:rsid w:val="26777874"/>
    <w:rsid w:val="267A52D4"/>
    <w:rsid w:val="267C0D10"/>
    <w:rsid w:val="267D0D2B"/>
    <w:rsid w:val="267E36F1"/>
    <w:rsid w:val="267F7978"/>
    <w:rsid w:val="26822262"/>
    <w:rsid w:val="26852E25"/>
    <w:rsid w:val="2690150F"/>
    <w:rsid w:val="2692672A"/>
    <w:rsid w:val="269526F0"/>
    <w:rsid w:val="269636CC"/>
    <w:rsid w:val="269B139D"/>
    <w:rsid w:val="269E51D4"/>
    <w:rsid w:val="269F1239"/>
    <w:rsid w:val="26A1101B"/>
    <w:rsid w:val="26A166AF"/>
    <w:rsid w:val="26A2434E"/>
    <w:rsid w:val="26A32BAF"/>
    <w:rsid w:val="26A754C5"/>
    <w:rsid w:val="26AE437B"/>
    <w:rsid w:val="26C43A71"/>
    <w:rsid w:val="26C50CCC"/>
    <w:rsid w:val="26C80A72"/>
    <w:rsid w:val="26D379D1"/>
    <w:rsid w:val="26D97A1B"/>
    <w:rsid w:val="26DC4B7A"/>
    <w:rsid w:val="26DD71D8"/>
    <w:rsid w:val="26E2217C"/>
    <w:rsid w:val="26E36691"/>
    <w:rsid w:val="26F86E12"/>
    <w:rsid w:val="26FA63CD"/>
    <w:rsid w:val="26FB5954"/>
    <w:rsid w:val="26FF3B1B"/>
    <w:rsid w:val="270812DD"/>
    <w:rsid w:val="270A7E21"/>
    <w:rsid w:val="270C13E8"/>
    <w:rsid w:val="2717500D"/>
    <w:rsid w:val="271A75F7"/>
    <w:rsid w:val="271B4205"/>
    <w:rsid w:val="271E5174"/>
    <w:rsid w:val="27224336"/>
    <w:rsid w:val="27255994"/>
    <w:rsid w:val="27285D46"/>
    <w:rsid w:val="2729662E"/>
    <w:rsid w:val="272D7A5E"/>
    <w:rsid w:val="272E66B0"/>
    <w:rsid w:val="27361C16"/>
    <w:rsid w:val="27386CCC"/>
    <w:rsid w:val="273C6E7E"/>
    <w:rsid w:val="2741235B"/>
    <w:rsid w:val="27446BEA"/>
    <w:rsid w:val="27446E8C"/>
    <w:rsid w:val="27461617"/>
    <w:rsid w:val="27461A40"/>
    <w:rsid w:val="274F02AD"/>
    <w:rsid w:val="27505581"/>
    <w:rsid w:val="275A38BD"/>
    <w:rsid w:val="275E0FB3"/>
    <w:rsid w:val="27600B7D"/>
    <w:rsid w:val="27631F64"/>
    <w:rsid w:val="27632678"/>
    <w:rsid w:val="276344C3"/>
    <w:rsid w:val="276A55EE"/>
    <w:rsid w:val="276C19B5"/>
    <w:rsid w:val="276E6C5A"/>
    <w:rsid w:val="277456B7"/>
    <w:rsid w:val="277503A8"/>
    <w:rsid w:val="27774627"/>
    <w:rsid w:val="277D1259"/>
    <w:rsid w:val="278133B0"/>
    <w:rsid w:val="27877AE0"/>
    <w:rsid w:val="278B3038"/>
    <w:rsid w:val="27910C70"/>
    <w:rsid w:val="27931CB2"/>
    <w:rsid w:val="279A5C6C"/>
    <w:rsid w:val="279C59B3"/>
    <w:rsid w:val="27A07643"/>
    <w:rsid w:val="27A44A32"/>
    <w:rsid w:val="27A56755"/>
    <w:rsid w:val="27AB0C3B"/>
    <w:rsid w:val="27AB142D"/>
    <w:rsid w:val="27B11B68"/>
    <w:rsid w:val="27B604FF"/>
    <w:rsid w:val="27C135E7"/>
    <w:rsid w:val="27C14E60"/>
    <w:rsid w:val="27C4032C"/>
    <w:rsid w:val="27CC2E8D"/>
    <w:rsid w:val="27CC375B"/>
    <w:rsid w:val="27DB4636"/>
    <w:rsid w:val="27E009AF"/>
    <w:rsid w:val="27E72A03"/>
    <w:rsid w:val="27E739D1"/>
    <w:rsid w:val="27E93330"/>
    <w:rsid w:val="27EC18FC"/>
    <w:rsid w:val="27EC6131"/>
    <w:rsid w:val="27EF43B2"/>
    <w:rsid w:val="27F07ECC"/>
    <w:rsid w:val="27FA5955"/>
    <w:rsid w:val="27FA651E"/>
    <w:rsid w:val="27FD093D"/>
    <w:rsid w:val="27FF6FD7"/>
    <w:rsid w:val="28030F9B"/>
    <w:rsid w:val="281C1A56"/>
    <w:rsid w:val="281E7911"/>
    <w:rsid w:val="2828577D"/>
    <w:rsid w:val="282A343D"/>
    <w:rsid w:val="282C056F"/>
    <w:rsid w:val="282F62FA"/>
    <w:rsid w:val="283C321D"/>
    <w:rsid w:val="283C7FFA"/>
    <w:rsid w:val="284116B5"/>
    <w:rsid w:val="28411A29"/>
    <w:rsid w:val="284A79BA"/>
    <w:rsid w:val="284C7069"/>
    <w:rsid w:val="284E2B64"/>
    <w:rsid w:val="284F2F8A"/>
    <w:rsid w:val="28556B47"/>
    <w:rsid w:val="28563DA3"/>
    <w:rsid w:val="285C3481"/>
    <w:rsid w:val="28656E04"/>
    <w:rsid w:val="28667C09"/>
    <w:rsid w:val="28682828"/>
    <w:rsid w:val="286933AC"/>
    <w:rsid w:val="286B47BE"/>
    <w:rsid w:val="28730F93"/>
    <w:rsid w:val="28770552"/>
    <w:rsid w:val="28790CDB"/>
    <w:rsid w:val="28824BC2"/>
    <w:rsid w:val="288C3079"/>
    <w:rsid w:val="288F2DEE"/>
    <w:rsid w:val="28963DF8"/>
    <w:rsid w:val="289D139B"/>
    <w:rsid w:val="28A17454"/>
    <w:rsid w:val="28A84560"/>
    <w:rsid w:val="28B46DE7"/>
    <w:rsid w:val="28B76FEA"/>
    <w:rsid w:val="28B92CA4"/>
    <w:rsid w:val="28BA1D9F"/>
    <w:rsid w:val="28BB6136"/>
    <w:rsid w:val="28C17522"/>
    <w:rsid w:val="28C600D0"/>
    <w:rsid w:val="28CC436E"/>
    <w:rsid w:val="28D33C9C"/>
    <w:rsid w:val="28D64766"/>
    <w:rsid w:val="28D7582E"/>
    <w:rsid w:val="28D80A5B"/>
    <w:rsid w:val="28E354F7"/>
    <w:rsid w:val="28EA35BA"/>
    <w:rsid w:val="28EA3D80"/>
    <w:rsid w:val="28EB1894"/>
    <w:rsid w:val="28EC113E"/>
    <w:rsid w:val="28ED3933"/>
    <w:rsid w:val="28ED6CC1"/>
    <w:rsid w:val="28F073AB"/>
    <w:rsid w:val="28F50FC3"/>
    <w:rsid w:val="28F97081"/>
    <w:rsid w:val="290B6697"/>
    <w:rsid w:val="290F16A6"/>
    <w:rsid w:val="291E3F1F"/>
    <w:rsid w:val="292145FD"/>
    <w:rsid w:val="29230445"/>
    <w:rsid w:val="29263AC4"/>
    <w:rsid w:val="292701B5"/>
    <w:rsid w:val="29292F5C"/>
    <w:rsid w:val="292D35C6"/>
    <w:rsid w:val="292F6A77"/>
    <w:rsid w:val="29301421"/>
    <w:rsid w:val="29326C9C"/>
    <w:rsid w:val="293534AF"/>
    <w:rsid w:val="29384BEC"/>
    <w:rsid w:val="29391F52"/>
    <w:rsid w:val="29427A31"/>
    <w:rsid w:val="29457FED"/>
    <w:rsid w:val="29492652"/>
    <w:rsid w:val="294E6853"/>
    <w:rsid w:val="29561745"/>
    <w:rsid w:val="295F52F4"/>
    <w:rsid w:val="296E05EC"/>
    <w:rsid w:val="297022AB"/>
    <w:rsid w:val="2971247D"/>
    <w:rsid w:val="29792B88"/>
    <w:rsid w:val="297A4E6F"/>
    <w:rsid w:val="29824F67"/>
    <w:rsid w:val="29840807"/>
    <w:rsid w:val="29872DEA"/>
    <w:rsid w:val="29932DCC"/>
    <w:rsid w:val="2997301A"/>
    <w:rsid w:val="2998733E"/>
    <w:rsid w:val="299917CC"/>
    <w:rsid w:val="299C13C9"/>
    <w:rsid w:val="29A043A6"/>
    <w:rsid w:val="29A20A82"/>
    <w:rsid w:val="29A47AA8"/>
    <w:rsid w:val="29A87B12"/>
    <w:rsid w:val="29A9647F"/>
    <w:rsid w:val="29AA11AA"/>
    <w:rsid w:val="29B120D1"/>
    <w:rsid w:val="29BA7C5F"/>
    <w:rsid w:val="29BB41B2"/>
    <w:rsid w:val="29BB6961"/>
    <w:rsid w:val="29CF5E0B"/>
    <w:rsid w:val="29D52E30"/>
    <w:rsid w:val="29D6416C"/>
    <w:rsid w:val="29D91DA0"/>
    <w:rsid w:val="29DC23F5"/>
    <w:rsid w:val="29E26A33"/>
    <w:rsid w:val="29E55210"/>
    <w:rsid w:val="29E74656"/>
    <w:rsid w:val="29E94F22"/>
    <w:rsid w:val="29EA1494"/>
    <w:rsid w:val="29EB214E"/>
    <w:rsid w:val="29EB70E7"/>
    <w:rsid w:val="29F044B6"/>
    <w:rsid w:val="29F14852"/>
    <w:rsid w:val="29F444B1"/>
    <w:rsid w:val="29F960BA"/>
    <w:rsid w:val="29FC1B3A"/>
    <w:rsid w:val="2A0030E0"/>
    <w:rsid w:val="2A0D079B"/>
    <w:rsid w:val="2A1D5224"/>
    <w:rsid w:val="2A2665E5"/>
    <w:rsid w:val="2A300184"/>
    <w:rsid w:val="2A304A82"/>
    <w:rsid w:val="2A343590"/>
    <w:rsid w:val="2A366BE7"/>
    <w:rsid w:val="2A3879D4"/>
    <w:rsid w:val="2A396234"/>
    <w:rsid w:val="2A3F2B6B"/>
    <w:rsid w:val="2A48084D"/>
    <w:rsid w:val="2A4A2DF5"/>
    <w:rsid w:val="2A4B2DC3"/>
    <w:rsid w:val="2A5143C4"/>
    <w:rsid w:val="2A6C748E"/>
    <w:rsid w:val="2A6F5F9C"/>
    <w:rsid w:val="2A7228B2"/>
    <w:rsid w:val="2A7A3B23"/>
    <w:rsid w:val="2A7D42F0"/>
    <w:rsid w:val="2A7E7584"/>
    <w:rsid w:val="2A7E7B2D"/>
    <w:rsid w:val="2A8C22DA"/>
    <w:rsid w:val="2A944DC2"/>
    <w:rsid w:val="2A964D0B"/>
    <w:rsid w:val="2A9978C6"/>
    <w:rsid w:val="2A9A2C92"/>
    <w:rsid w:val="2A9E5B47"/>
    <w:rsid w:val="2AAF4E8E"/>
    <w:rsid w:val="2AB01988"/>
    <w:rsid w:val="2AB40A2B"/>
    <w:rsid w:val="2AB75C8F"/>
    <w:rsid w:val="2AB94B79"/>
    <w:rsid w:val="2ABD1BA5"/>
    <w:rsid w:val="2AC34E3B"/>
    <w:rsid w:val="2ACB3B4E"/>
    <w:rsid w:val="2ACD3DCE"/>
    <w:rsid w:val="2ACF128B"/>
    <w:rsid w:val="2AD11EA9"/>
    <w:rsid w:val="2AD15F64"/>
    <w:rsid w:val="2AD25FBA"/>
    <w:rsid w:val="2ADF7F8F"/>
    <w:rsid w:val="2AE255BC"/>
    <w:rsid w:val="2AE4336A"/>
    <w:rsid w:val="2AEF0DCE"/>
    <w:rsid w:val="2AF37B30"/>
    <w:rsid w:val="2AF846F4"/>
    <w:rsid w:val="2AFA696C"/>
    <w:rsid w:val="2AFB63FF"/>
    <w:rsid w:val="2AFC3AF5"/>
    <w:rsid w:val="2AFD5777"/>
    <w:rsid w:val="2B000708"/>
    <w:rsid w:val="2B0022F4"/>
    <w:rsid w:val="2B0611EA"/>
    <w:rsid w:val="2B0B76FE"/>
    <w:rsid w:val="2B0F437F"/>
    <w:rsid w:val="2B133020"/>
    <w:rsid w:val="2B146CF2"/>
    <w:rsid w:val="2B197F85"/>
    <w:rsid w:val="2B1A62D1"/>
    <w:rsid w:val="2B1C6B78"/>
    <w:rsid w:val="2B204062"/>
    <w:rsid w:val="2B211801"/>
    <w:rsid w:val="2B2B6A0F"/>
    <w:rsid w:val="2B2E3B2D"/>
    <w:rsid w:val="2B317125"/>
    <w:rsid w:val="2B327348"/>
    <w:rsid w:val="2B39696E"/>
    <w:rsid w:val="2B3C2587"/>
    <w:rsid w:val="2B4048DC"/>
    <w:rsid w:val="2B42586C"/>
    <w:rsid w:val="2B441FD3"/>
    <w:rsid w:val="2B462AA8"/>
    <w:rsid w:val="2B57055D"/>
    <w:rsid w:val="2B57324E"/>
    <w:rsid w:val="2B5A144D"/>
    <w:rsid w:val="2B5A3676"/>
    <w:rsid w:val="2B5D2B76"/>
    <w:rsid w:val="2B5D4735"/>
    <w:rsid w:val="2B615840"/>
    <w:rsid w:val="2B631F56"/>
    <w:rsid w:val="2B64178A"/>
    <w:rsid w:val="2B743891"/>
    <w:rsid w:val="2B797375"/>
    <w:rsid w:val="2B7C1382"/>
    <w:rsid w:val="2B831F18"/>
    <w:rsid w:val="2B857935"/>
    <w:rsid w:val="2B87072A"/>
    <w:rsid w:val="2B880BDA"/>
    <w:rsid w:val="2B912FCE"/>
    <w:rsid w:val="2B971D11"/>
    <w:rsid w:val="2B9B2C10"/>
    <w:rsid w:val="2B9C3895"/>
    <w:rsid w:val="2B9C442F"/>
    <w:rsid w:val="2B9C51D6"/>
    <w:rsid w:val="2BA702C0"/>
    <w:rsid w:val="2BA96C91"/>
    <w:rsid w:val="2BA975AC"/>
    <w:rsid w:val="2BAD5B1E"/>
    <w:rsid w:val="2BB1274D"/>
    <w:rsid w:val="2BB227C1"/>
    <w:rsid w:val="2BB3391B"/>
    <w:rsid w:val="2BB37802"/>
    <w:rsid w:val="2BB871B7"/>
    <w:rsid w:val="2BC47919"/>
    <w:rsid w:val="2BC7733E"/>
    <w:rsid w:val="2BC8077D"/>
    <w:rsid w:val="2BCC10CC"/>
    <w:rsid w:val="2BD0364E"/>
    <w:rsid w:val="2BD04190"/>
    <w:rsid w:val="2BD25537"/>
    <w:rsid w:val="2BDA629D"/>
    <w:rsid w:val="2BE35732"/>
    <w:rsid w:val="2BE60B5B"/>
    <w:rsid w:val="2BF20DA4"/>
    <w:rsid w:val="2BF95951"/>
    <w:rsid w:val="2BFB4540"/>
    <w:rsid w:val="2BFB65F5"/>
    <w:rsid w:val="2BFB76A4"/>
    <w:rsid w:val="2BFE524A"/>
    <w:rsid w:val="2C03636D"/>
    <w:rsid w:val="2C076C5D"/>
    <w:rsid w:val="2C0B6567"/>
    <w:rsid w:val="2C13377A"/>
    <w:rsid w:val="2C171E10"/>
    <w:rsid w:val="2C192D2C"/>
    <w:rsid w:val="2C1A1486"/>
    <w:rsid w:val="2C2A486D"/>
    <w:rsid w:val="2C2B3376"/>
    <w:rsid w:val="2C2C046C"/>
    <w:rsid w:val="2C2C2BD5"/>
    <w:rsid w:val="2C2C786F"/>
    <w:rsid w:val="2C2F549D"/>
    <w:rsid w:val="2C323470"/>
    <w:rsid w:val="2C3559BF"/>
    <w:rsid w:val="2C3B56CA"/>
    <w:rsid w:val="2C3E7CD1"/>
    <w:rsid w:val="2C402F96"/>
    <w:rsid w:val="2C457D28"/>
    <w:rsid w:val="2C495AC4"/>
    <w:rsid w:val="2C4B0526"/>
    <w:rsid w:val="2C4D32F1"/>
    <w:rsid w:val="2C5568BD"/>
    <w:rsid w:val="2C5B4454"/>
    <w:rsid w:val="2C5C3CA5"/>
    <w:rsid w:val="2C5C5E35"/>
    <w:rsid w:val="2C5D5972"/>
    <w:rsid w:val="2C676C5D"/>
    <w:rsid w:val="2C682E5E"/>
    <w:rsid w:val="2C7733CD"/>
    <w:rsid w:val="2C7827A3"/>
    <w:rsid w:val="2C7C4EA6"/>
    <w:rsid w:val="2C856009"/>
    <w:rsid w:val="2C863410"/>
    <w:rsid w:val="2C8B004F"/>
    <w:rsid w:val="2C8E5F53"/>
    <w:rsid w:val="2C8F70FF"/>
    <w:rsid w:val="2C91568B"/>
    <w:rsid w:val="2C953A73"/>
    <w:rsid w:val="2C9F5078"/>
    <w:rsid w:val="2CA37D73"/>
    <w:rsid w:val="2CA55FD6"/>
    <w:rsid w:val="2CA756CA"/>
    <w:rsid w:val="2CAA5633"/>
    <w:rsid w:val="2CAC1BBA"/>
    <w:rsid w:val="2CAE0D5F"/>
    <w:rsid w:val="2CB20D54"/>
    <w:rsid w:val="2CBA1ABE"/>
    <w:rsid w:val="2CC25A55"/>
    <w:rsid w:val="2CC41947"/>
    <w:rsid w:val="2CC448E3"/>
    <w:rsid w:val="2CCB0487"/>
    <w:rsid w:val="2CCB30EA"/>
    <w:rsid w:val="2CCC466A"/>
    <w:rsid w:val="2CCD6003"/>
    <w:rsid w:val="2CD04F0E"/>
    <w:rsid w:val="2CD36D47"/>
    <w:rsid w:val="2CD7314F"/>
    <w:rsid w:val="2CDB7DA0"/>
    <w:rsid w:val="2CDF049E"/>
    <w:rsid w:val="2CE41D9B"/>
    <w:rsid w:val="2CE4461A"/>
    <w:rsid w:val="2CE85921"/>
    <w:rsid w:val="2CF20309"/>
    <w:rsid w:val="2CF5734C"/>
    <w:rsid w:val="2CFE5B26"/>
    <w:rsid w:val="2CFF544A"/>
    <w:rsid w:val="2D073FA4"/>
    <w:rsid w:val="2D197040"/>
    <w:rsid w:val="2D1C756B"/>
    <w:rsid w:val="2D1D4043"/>
    <w:rsid w:val="2D1D76EA"/>
    <w:rsid w:val="2D245EB1"/>
    <w:rsid w:val="2D276E27"/>
    <w:rsid w:val="2D282918"/>
    <w:rsid w:val="2D29243E"/>
    <w:rsid w:val="2D2D7F20"/>
    <w:rsid w:val="2D2E2C83"/>
    <w:rsid w:val="2D38628A"/>
    <w:rsid w:val="2D3C781C"/>
    <w:rsid w:val="2D3F0316"/>
    <w:rsid w:val="2D3F435B"/>
    <w:rsid w:val="2D434739"/>
    <w:rsid w:val="2D475A6E"/>
    <w:rsid w:val="2D4E6BFA"/>
    <w:rsid w:val="2D5105B0"/>
    <w:rsid w:val="2D573947"/>
    <w:rsid w:val="2D6019F8"/>
    <w:rsid w:val="2D61141A"/>
    <w:rsid w:val="2D611DE3"/>
    <w:rsid w:val="2D645416"/>
    <w:rsid w:val="2D6A6978"/>
    <w:rsid w:val="2D7D7264"/>
    <w:rsid w:val="2D7E7353"/>
    <w:rsid w:val="2D7F2507"/>
    <w:rsid w:val="2D836973"/>
    <w:rsid w:val="2D87497C"/>
    <w:rsid w:val="2D881B03"/>
    <w:rsid w:val="2D8D20E9"/>
    <w:rsid w:val="2D957660"/>
    <w:rsid w:val="2DA258C8"/>
    <w:rsid w:val="2DA25913"/>
    <w:rsid w:val="2DA70155"/>
    <w:rsid w:val="2DAB1E6B"/>
    <w:rsid w:val="2DB82C95"/>
    <w:rsid w:val="2DC071FC"/>
    <w:rsid w:val="2DCC642F"/>
    <w:rsid w:val="2DCF405A"/>
    <w:rsid w:val="2DD13AB6"/>
    <w:rsid w:val="2DDA0B49"/>
    <w:rsid w:val="2DDB032D"/>
    <w:rsid w:val="2DDD70F2"/>
    <w:rsid w:val="2DDF1E00"/>
    <w:rsid w:val="2DE32066"/>
    <w:rsid w:val="2DE47B43"/>
    <w:rsid w:val="2DE85D78"/>
    <w:rsid w:val="2DEC39B6"/>
    <w:rsid w:val="2DEF5945"/>
    <w:rsid w:val="2DF36A9E"/>
    <w:rsid w:val="2DF53813"/>
    <w:rsid w:val="2DF625D9"/>
    <w:rsid w:val="2DF82C5A"/>
    <w:rsid w:val="2DFF657A"/>
    <w:rsid w:val="2E027BAC"/>
    <w:rsid w:val="2E0F182E"/>
    <w:rsid w:val="2E106210"/>
    <w:rsid w:val="2E14284A"/>
    <w:rsid w:val="2E1D00BC"/>
    <w:rsid w:val="2E211733"/>
    <w:rsid w:val="2E225D9E"/>
    <w:rsid w:val="2E2337EC"/>
    <w:rsid w:val="2E255E41"/>
    <w:rsid w:val="2E293FFE"/>
    <w:rsid w:val="2E2C167D"/>
    <w:rsid w:val="2E2E0FBC"/>
    <w:rsid w:val="2E2E4BE4"/>
    <w:rsid w:val="2E2F1B9C"/>
    <w:rsid w:val="2E361D05"/>
    <w:rsid w:val="2E3D42AD"/>
    <w:rsid w:val="2E3D6F29"/>
    <w:rsid w:val="2E4B7451"/>
    <w:rsid w:val="2E4D65C1"/>
    <w:rsid w:val="2E573591"/>
    <w:rsid w:val="2E5806C5"/>
    <w:rsid w:val="2E5E17BC"/>
    <w:rsid w:val="2E603EA0"/>
    <w:rsid w:val="2E647240"/>
    <w:rsid w:val="2E656BF8"/>
    <w:rsid w:val="2E6812CC"/>
    <w:rsid w:val="2E686D2A"/>
    <w:rsid w:val="2E6F51C0"/>
    <w:rsid w:val="2E732178"/>
    <w:rsid w:val="2E7C4531"/>
    <w:rsid w:val="2E7D50A7"/>
    <w:rsid w:val="2E7D5899"/>
    <w:rsid w:val="2E7E04DA"/>
    <w:rsid w:val="2E7F18D4"/>
    <w:rsid w:val="2E840C35"/>
    <w:rsid w:val="2E891A5A"/>
    <w:rsid w:val="2E8E794E"/>
    <w:rsid w:val="2E8F7C6A"/>
    <w:rsid w:val="2E914492"/>
    <w:rsid w:val="2E963825"/>
    <w:rsid w:val="2E9B6464"/>
    <w:rsid w:val="2E9F0BED"/>
    <w:rsid w:val="2EA53A48"/>
    <w:rsid w:val="2EA614E2"/>
    <w:rsid w:val="2EAD35AD"/>
    <w:rsid w:val="2EB023ED"/>
    <w:rsid w:val="2EB03E08"/>
    <w:rsid w:val="2EB17749"/>
    <w:rsid w:val="2EB77AD0"/>
    <w:rsid w:val="2EB8054E"/>
    <w:rsid w:val="2EB93945"/>
    <w:rsid w:val="2EBB3383"/>
    <w:rsid w:val="2EBC6DA4"/>
    <w:rsid w:val="2EC23082"/>
    <w:rsid w:val="2EC524ED"/>
    <w:rsid w:val="2EC664E0"/>
    <w:rsid w:val="2EC721DD"/>
    <w:rsid w:val="2ED1273A"/>
    <w:rsid w:val="2ED15D81"/>
    <w:rsid w:val="2ED26323"/>
    <w:rsid w:val="2ED82618"/>
    <w:rsid w:val="2EDC2599"/>
    <w:rsid w:val="2EE30F67"/>
    <w:rsid w:val="2EE56223"/>
    <w:rsid w:val="2EFA1702"/>
    <w:rsid w:val="2EFB0955"/>
    <w:rsid w:val="2EFF66A8"/>
    <w:rsid w:val="2F025222"/>
    <w:rsid w:val="2F062100"/>
    <w:rsid w:val="2F094658"/>
    <w:rsid w:val="2F0C3BB4"/>
    <w:rsid w:val="2F156009"/>
    <w:rsid w:val="2F2E19BB"/>
    <w:rsid w:val="2F366366"/>
    <w:rsid w:val="2F3810BA"/>
    <w:rsid w:val="2F3D4CAE"/>
    <w:rsid w:val="2F480A1D"/>
    <w:rsid w:val="2F49652E"/>
    <w:rsid w:val="2F580756"/>
    <w:rsid w:val="2F5B478B"/>
    <w:rsid w:val="2F600DFE"/>
    <w:rsid w:val="2F697DDD"/>
    <w:rsid w:val="2F6C2AD8"/>
    <w:rsid w:val="2F6C533C"/>
    <w:rsid w:val="2F722FE6"/>
    <w:rsid w:val="2F7369C8"/>
    <w:rsid w:val="2F756F56"/>
    <w:rsid w:val="2F797128"/>
    <w:rsid w:val="2F7A722E"/>
    <w:rsid w:val="2F8B0771"/>
    <w:rsid w:val="2F924890"/>
    <w:rsid w:val="2F927392"/>
    <w:rsid w:val="2F9456D3"/>
    <w:rsid w:val="2F9564BE"/>
    <w:rsid w:val="2F9620E0"/>
    <w:rsid w:val="2F9B3BA4"/>
    <w:rsid w:val="2F9E0D7D"/>
    <w:rsid w:val="2F9E2A73"/>
    <w:rsid w:val="2FA137A2"/>
    <w:rsid w:val="2FA6151E"/>
    <w:rsid w:val="2FA77AD5"/>
    <w:rsid w:val="2FA979CA"/>
    <w:rsid w:val="2FAB6854"/>
    <w:rsid w:val="2FB270B8"/>
    <w:rsid w:val="2FB718DE"/>
    <w:rsid w:val="2FB913CA"/>
    <w:rsid w:val="2FBD67BA"/>
    <w:rsid w:val="2FC70D12"/>
    <w:rsid w:val="2FC77204"/>
    <w:rsid w:val="2FCC7CB4"/>
    <w:rsid w:val="2FCE1CD8"/>
    <w:rsid w:val="2FCF19F6"/>
    <w:rsid w:val="2FD66754"/>
    <w:rsid w:val="2FDE2969"/>
    <w:rsid w:val="2FE02EA0"/>
    <w:rsid w:val="2FE24D16"/>
    <w:rsid w:val="2FE46353"/>
    <w:rsid w:val="2FE56B39"/>
    <w:rsid w:val="2FE819DE"/>
    <w:rsid w:val="2FED45EE"/>
    <w:rsid w:val="2FFC0A25"/>
    <w:rsid w:val="2FFD0267"/>
    <w:rsid w:val="2FFE1602"/>
    <w:rsid w:val="30025241"/>
    <w:rsid w:val="30034702"/>
    <w:rsid w:val="30052955"/>
    <w:rsid w:val="300A3AAB"/>
    <w:rsid w:val="300A4D23"/>
    <w:rsid w:val="300E64F8"/>
    <w:rsid w:val="30121F50"/>
    <w:rsid w:val="3013485C"/>
    <w:rsid w:val="30185A05"/>
    <w:rsid w:val="301A1704"/>
    <w:rsid w:val="301B4F78"/>
    <w:rsid w:val="301F1A12"/>
    <w:rsid w:val="30227C28"/>
    <w:rsid w:val="302360EE"/>
    <w:rsid w:val="30243544"/>
    <w:rsid w:val="30266794"/>
    <w:rsid w:val="302A5B16"/>
    <w:rsid w:val="302E47B0"/>
    <w:rsid w:val="303B1E77"/>
    <w:rsid w:val="303D63F4"/>
    <w:rsid w:val="303E08C6"/>
    <w:rsid w:val="303F5B88"/>
    <w:rsid w:val="304E709D"/>
    <w:rsid w:val="30541FEF"/>
    <w:rsid w:val="30603A63"/>
    <w:rsid w:val="3060432D"/>
    <w:rsid w:val="306223B3"/>
    <w:rsid w:val="30622472"/>
    <w:rsid w:val="3063623E"/>
    <w:rsid w:val="306425B6"/>
    <w:rsid w:val="30665958"/>
    <w:rsid w:val="307E7AC6"/>
    <w:rsid w:val="30803B32"/>
    <w:rsid w:val="30833B0E"/>
    <w:rsid w:val="308A054F"/>
    <w:rsid w:val="308A3D80"/>
    <w:rsid w:val="308E454F"/>
    <w:rsid w:val="30902C45"/>
    <w:rsid w:val="3092679D"/>
    <w:rsid w:val="309758D9"/>
    <w:rsid w:val="30982D72"/>
    <w:rsid w:val="3099050F"/>
    <w:rsid w:val="30997544"/>
    <w:rsid w:val="309B60AD"/>
    <w:rsid w:val="309F364B"/>
    <w:rsid w:val="30A15202"/>
    <w:rsid w:val="30A55E8D"/>
    <w:rsid w:val="30AE074E"/>
    <w:rsid w:val="30B15ECE"/>
    <w:rsid w:val="30B40474"/>
    <w:rsid w:val="30B60C15"/>
    <w:rsid w:val="30B641B8"/>
    <w:rsid w:val="30B7161D"/>
    <w:rsid w:val="30B7494A"/>
    <w:rsid w:val="30BA1152"/>
    <w:rsid w:val="30BA1DC3"/>
    <w:rsid w:val="30BC6925"/>
    <w:rsid w:val="30BF30D5"/>
    <w:rsid w:val="30C462F2"/>
    <w:rsid w:val="30C7226C"/>
    <w:rsid w:val="30CD0A19"/>
    <w:rsid w:val="30D04567"/>
    <w:rsid w:val="30D2686F"/>
    <w:rsid w:val="30D52A9B"/>
    <w:rsid w:val="30D55647"/>
    <w:rsid w:val="30DD77CF"/>
    <w:rsid w:val="30DF0B46"/>
    <w:rsid w:val="30E02F91"/>
    <w:rsid w:val="30E83441"/>
    <w:rsid w:val="30EB325B"/>
    <w:rsid w:val="30F05F78"/>
    <w:rsid w:val="310C5B51"/>
    <w:rsid w:val="3114110B"/>
    <w:rsid w:val="31167649"/>
    <w:rsid w:val="311931E8"/>
    <w:rsid w:val="311A6B57"/>
    <w:rsid w:val="311B416A"/>
    <w:rsid w:val="311D78DA"/>
    <w:rsid w:val="311F49A4"/>
    <w:rsid w:val="31230821"/>
    <w:rsid w:val="31240066"/>
    <w:rsid w:val="312A21AA"/>
    <w:rsid w:val="313112AC"/>
    <w:rsid w:val="31395A0E"/>
    <w:rsid w:val="313A525D"/>
    <w:rsid w:val="313F3BC3"/>
    <w:rsid w:val="31426210"/>
    <w:rsid w:val="31461AB8"/>
    <w:rsid w:val="31517C59"/>
    <w:rsid w:val="31594169"/>
    <w:rsid w:val="31675824"/>
    <w:rsid w:val="316D2F59"/>
    <w:rsid w:val="3175326A"/>
    <w:rsid w:val="31761209"/>
    <w:rsid w:val="31795311"/>
    <w:rsid w:val="317A5111"/>
    <w:rsid w:val="31836D1F"/>
    <w:rsid w:val="3184002C"/>
    <w:rsid w:val="31850C9F"/>
    <w:rsid w:val="318511F6"/>
    <w:rsid w:val="31882B7F"/>
    <w:rsid w:val="31957888"/>
    <w:rsid w:val="31A10EA5"/>
    <w:rsid w:val="31A11767"/>
    <w:rsid w:val="31A2772B"/>
    <w:rsid w:val="31A8255C"/>
    <w:rsid w:val="31B31D33"/>
    <w:rsid w:val="31BA061A"/>
    <w:rsid w:val="31BF15E1"/>
    <w:rsid w:val="31D1551D"/>
    <w:rsid w:val="31D21386"/>
    <w:rsid w:val="31D72F24"/>
    <w:rsid w:val="31DD4190"/>
    <w:rsid w:val="31E06664"/>
    <w:rsid w:val="31E44D12"/>
    <w:rsid w:val="31E73865"/>
    <w:rsid w:val="31E9527E"/>
    <w:rsid w:val="31EE06CE"/>
    <w:rsid w:val="31F97C5F"/>
    <w:rsid w:val="31FA2157"/>
    <w:rsid w:val="31FB4A20"/>
    <w:rsid w:val="31FB5D21"/>
    <w:rsid w:val="31FE4B6D"/>
    <w:rsid w:val="320525A9"/>
    <w:rsid w:val="32057543"/>
    <w:rsid w:val="32077E48"/>
    <w:rsid w:val="320C5E6B"/>
    <w:rsid w:val="320D5DB6"/>
    <w:rsid w:val="321A193D"/>
    <w:rsid w:val="321B3BBE"/>
    <w:rsid w:val="321D4D48"/>
    <w:rsid w:val="32246A5E"/>
    <w:rsid w:val="323051C5"/>
    <w:rsid w:val="3235608A"/>
    <w:rsid w:val="3236028D"/>
    <w:rsid w:val="32366329"/>
    <w:rsid w:val="323B7351"/>
    <w:rsid w:val="323C6D0E"/>
    <w:rsid w:val="323D3DDA"/>
    <w:rsid w:val="323E1453"/>
    <w:rsid w:val="323E6AE0"/>
    <w:rsid w:val="324208DF"/>
    <w:rsid w:val="324921E0"/>
    <w:rsid w:val="324E6DF8"/>
    <w:rsid w:val="325576A8"/>
    <w:rsid w:val="325628CD"/>
    <w:rsid w:val="325D227C"/>
    <w:rsid w:val="325F23F1"/>
    <w:rsid w:val="325F4068"/>
    <w:rsid w:val="32627FC8"/>
    <w:rsid w:val="32695BF7"/>
    <w:rsid w:val="32721228"/>
    <w:rsid w:val="327540CD"/>
    <w:rsid w:val="327713AE"/>
    <w:rsid w:val="32775514"/>
    <w:rsid w:val="328F1066"/>
    <w:rsid w:val="329A6CE0"/>
    <w:rsid w:val="329D7E14"/>
    <w:rsid w:val="32A2471C"/>
    <w:rsid w:val="32A52E56"/>
    <w:rsid w:val="32A74C8E"/>
    <w:rsid w:val="32A9067B"/>
    <w:rsid w:val="32AA3215"/>
    <w:rsid w:val="32B7443C"/>
    <w:rsid w:val="32BC6D8B"/>
    <w:rsid w:val="32BE2BAD"/>
    <w:rsid w:val="32C3229F"/>
    <w:rsid w:val="32CF3152"/>
    <w:rsid w:val="32D13EA8"/>
    <w:rsid w:val="32D408AD"/>
    <w:rsid w:val="32D429C3"/>
    <w:rsid w:val="32E31083"/>
    <w:rsid w:val="32ED4355"/>
    <w:rsid w:val="32ED71FA"/>
    <w:rsid w:val="32F44389"/>
    <w:rsid w:val="32FB489D"/>
    <w:rsid w:val="32FF1818"/>
    <w:rsid w:val="330121DA"/>
    <w:rsid w:val="3304362D"/>
    <w:rsid w:val="33050C02"/>
    <w:rsid w:val="33081450"/>
    <w:rsid w:val="33116F0F"/>
    <w:rsid w:val="3313530E"/>
    <w:rsid w:val="331A333D"/>
    <w:rsid w:val="331F003F"/>
    <w:rsid w:val="33204DF1"/>
    <w:rsid w:val="33214E85"/>
    <w:rsid w:val="332259AF"/>
    <w:rsid w:val="33225D0A"/>
    <w:rsid w:val="332742A8"/>
    <w:rsid w:val="332B7FAC"/>
    <w:rsid w:val="332E1A57"/>
    <w:rsid w:val="332F7655"/>
    <w:rsid w:val="33306105"/>
    <w:rsid w:val="33327337"/>
    <w:rsid w:val="33380A9C"/>
    <w:rsid w:val="33396F1A"/>
    <w:rsid w:val="334C29D1"/>
    <w:rsid w:val="334C6347"/>
    <w:rsid w:val="33500235"/>
    <w:rsid w:val="335B3BE1"/>
    <w:rsid w:val="335C2ACB"/>
    <w:rsid w:val="336C48AE"/>
    <w:rsid w:val="336D2AAB"/>
    <w:rsid w:val="336D6EE3"/>
    <w:rsid w:val="336F68D8"/>
    <w:rsid w:val="33700C31"/>
    <w:rsid w:val="33732602"/>
    <w:rsid w:val="33773CF9"/>
    <w:rsid w:val="337A5432"/>
    <w:rsid w:val="33816748"/>
    <w:rsid w:val="33893317"/>
    <w:rsid w:val="338B5C2B"/>
    <w:rsid w:val="338E442E"/>
    <w:rsid w:val="338F4648"/>
    <w:rsid w:val="338F4D83"/>
    <w:rsid w:val="33921901"/>
    <w:rsid w:val="3393629D"/>
    <w:rsid w:val="339616D3"/>
    <w:rsid w:val="33A446C4"/>
    <w:rsid w:val="33A6790B"/>
    <w:rsid w:val="33A76D1D"/>
    <w:rsid w:val="33A77A5C"/>
    <w:rsid w:val="33AE15B5"/>
    <w:rsid w:val="33B763E5"/>
    <w:rsid w:val="33BB5213"/>
    <w:rsid w:val="33C455CE"/>
    <w:rsid w:val="33C70BB6"/>
    <w:rsid w:val="33DD2557"/>
    <w:rsid w:val="33E0184B"/>
    <w:rsid w:val="33E461D9"/>
    <w:rsid w:val="33E90CFA"/>
    <w:rsid w:val="33EB654C"/>
    <w:rsid w:val="33ED2445"/>
    <w:rsid w:val="33F21933"/>
    <w:rsid w:val="33F6049B"/>
    <w:rsid w:val="33F66324"/>
    <w:rsid w:val="33F929C2"/>
    <w:rsid w:val="33F9351A"/>
    <w:rsid w:val="33F96C19"/>
    <w:rsid w:val="33FB37E6"/>
    <w:rsid w:val="33FE4C5E"/>
    <w:rsid w:val="33FE7CCC"/>
    <w:rsid w:val="34005D8C"/>
    <w:rsid w:val="340177CE"/>
    <w:rsid w:val="34050705"/>
    <w:rsid w:val="34054F98"/>
    <w:rsid w:val="34064409"/>
    <w:rsid w:val="34107418"/>
    <w:rsid w:val="34184B9C"/>
    <w:rsid w:val="341C7714"/>
    <w:rsid w:val="341D274E"/>
    <w:rsid w:val="341E53AC"/>
    <w:rsid w:val="3430284A"/>
    <w:rsid w:val="34347325"/>
    <w:rsid w:val="34417261"/>
    <w:rsid w:val="34446C15"/>
    <w:rsid w:val="34454601"/>
    <w:rsid w:val="34456026"/>
    <w:rsid w:val="344938F5"/>
    <w:rsid w:val="34536B47"/>
    <w:rsid w:val="345540BA"/>
    <w:rsid w:val="345618DE"/>
    <w:rsid w:val="34563A27"/>
    <w:rsid w:val="345C07C6"/>
    <w:rsid w:val="345D62C0"/>
    <w:rsid w:val="345E31F6"/>
    <w:rsid w:val="346664B4"/>
    <w:rsid w:val="34667853"/>
    <w:rsid w:val="34685E6C"/>
    <w:rsid w:val="346B2CC8"/>
    <w:rsid w:val="346C7D13"/>
    <w:rsid w:val="346F5AD4"/>
    <w:rsid w:val="34793CC5"/>
    <w:rsid w:val="347C7256"/>
    <w:rsid w:val="347F1A86"/>
    <w:rsid w:val="34800515"/>
    <w:rsid w:val="34805DA3"/>
    <w:rsid w:val="3484561C"/>
    <w:rsid w:val="34913E29"/>
    <w:rsid w:val="34914A11"/>
    <w:rsid w:val="34974D1E"/>
    <w:rsid w:val="349C6447"/>
    <w:rsid w:val="34A1228D"/>
    <w:rsid w:val="34A153B6"/>
    <w:rsid w:val="34A7418E"/>
    <w:rsid w:val="34AB4AD1"/>
    <w:rsid w:val="34AE0BC4"/>
    <w:rsid w:val="34AE48CB"/>
    <w:rsid w:val="34AF577A"/>
    <w:rsid w:val="34B06D32"/>
    <w:rsid w:val="34B2702D"/>
    <w:rsid w:val="34B60684"/>
    <w:rsid w:val="34BB0935"/>
    <w:rsid w:val="34BF69D2"/>
    <w:rsid w:val="34C20242"/>
    <w:rsid w:val="34C77CB1"/>
    <w:rsid w:val="34C86628"/>
    <w:rsid w:val="34CB3B5E"/>
    <w:rsid w:val="34CF0ED7"/>
    <w:rsid w:val="34CF2A87"/>
    <w:rsid w:val="34CF5C16"/>
    <w:rsid w:val="34D1030D"/>
    <w:rsid w:val="34DF5F6F"/>
    <w:rsid w:val="34DF744F"/>
    <w:rsid w:val="34E81989"/>
    <w:rsid w:val="34EB3C89"/>
    <w:rsid w:val="34F10E05"/>
    <w:rsid w:val="34F40855"/>
    <w:rsid w:val="34F40CEA"/>
    <w:rsid w:val="34F52B51"/>
    <w:rsid w:val="34F91A28"/>
    <w:rsid w:val="34FD62E4"/>
    <w:rsid w:val="34FE4BF4"/>
    <w:rsid w:val="35016CD2"/>
    <w:rsid w:val="350C1FA6"/>
    <w:rsid w:val="35104E8E"/>
    <w:rsid w:val="35114CAF"/>
    <w:rsid w:val="351C6CCC"/>
    <w:rsid w:val="351F6B0A"/>
    <w:rsid w:val="352251E4"/>
    <w:rsid w:val="352B311F"/>
    <w:rsid w:val="352D47BC"/>
    <w:rsid w:val="35335BCB"/>
    <w:rsid w:val="35340F97"/>
    <w:rsid w:val="353D200E"/>
    <w:rsid w:val="353F316E"/>
    <w:rsid w:val="35404780"/>
    <w:rsid w:val="3542568A"/>
    <w:rsid w:val="35465FC5"/>
    <w:rsid w:val="355A30F9"/>
    <w:rsid w:val="355B3A02"/>
    <w:rsid w:val="355F3E03"/>
    <w:rsid w:val="356412A7"/>
    <w:rsid w:val="35662D02"/>
    <w:rsid w:val="35683B43"/>
    <w:rsid w:val="356D3D7D"/>
    <w:rsid w:val="35723E41"/>
    <w:rsid w:val="357550DA"/>
    <w:rsid w:val="35770DB4"/>
    <w:rsid w:val="357F731A"/>
    <w:rsid w:val="35A75944"/>
    <w:rsid w:val="35A86EBE"/>
    <w:rsid w:val="35A91F9F"/>
    <w:rsid w:val="35B80907"/>
    <w:rsid w:val="35BF09EF"/>
    <w:rsid w:val="35C717EF"/>
    <w:rsid w:val="35D009C7"/>
    <w:rsid w:val="35D071A4"/>
    <w:rsid w:val="35D31C92"/>
    <w:rsid w:val="35DF3EB5"/>
    <w:rsid w:val="35E12445"/>
    <w:rsid w:val="35E65109"/>
    <w:rsid w:val="35EA2F20"/>
    <w:rsid w:val="35EB274D"/>
    <w:rsid w:val="35EE70EE"/>
    <w:rsid w:val="35F00F86"/>
    <w:rsid w:val="35F8380E"/>
    <w:rsid w:val="3610169C"/>
    <w:rsid w:val="361230A4"/>
    <w:rsid w:val="361626A8"/>
    <w:rsid w:val="361B77B6"/>
    <w:rsid w:val="36224108"/>
    <w:rsid w:val="362308F1"/>
    <w:rsid w:val="36280E44"/>
    <w:rsid w:val="362C5020"/>
    <w:rsid w:val="362D7196"/>
    <w:rsid w:val="36331E5D"/>
    <w:rsid w:val="36341520"/>
    <w:rsid w:val="36342BC9"/>
    <w:rsid w:val="36363096"/>
    <w:rsid w:val="36365DA6"/>
    <w:rsid w:val="363F6659"/>
    <w:rsid w:val="3642431C"/>
    <w:rsid w:val="36451B2B"/>
    <w:rsid w:val="3649248B"/>
    <w:rsid w:val="364D7722"/>
    <w:rsid w:val="365524F5"/>
    <w:rsid w:val="36595E66"/>
    <w:rsid w:val="365A519F"/>
    <w:rsid w:val="366144BE"/>
    <w:rsid w:val="36661E68"/>
    <w:rsid w:val="367B5DD3"/>
    <w:rsid w:val="367C6BD8"/>
    <w:rsid w:val="36860211"/>
    <w:rsid w:val="36870CF4"/>
    <w:rsid w:val="368760E3"/>
    <w:rsid w:val="36896026"/>
    <w:rsid w:val="368F794F"/>
    <w:rsid w:val="36957418"/>
    <w:rsid w:val="36980BD5"/>
    <w:rsid w:val="369977A7"/>
    <w:rsid w:val="369F4F03"/>
    <w:rsid w:val="36A05579"/>
    <w:rsid w:val="36A202B4"/>
    <w:rsid w:val="36A72C56"/>
    <w:rsid w:val="36AD48F7"/>
    <w:rsid w:val="36B36642"/>
    <w:rsid w:val="36BD44F7"/>
    <w:rsid w:val="36BD79BA"/>
    <w:rsid w:val="36BE5869"/>
    <w:rsid w:val="36D57471"/>
    <w:rsid w:val="36D61455"/>
    <w:rsid w:val="36DA0B0F"/>
    <w:rsid w:val="36DB2D32"/>
    <w:rsid w:val="36DE5E6F"/>
    <w:rsid w:val="36DE77FF"/>
    <w:rsid w:val="36E12C83"/>
    <w:rsid w:val="36E54246"/>
    <w:rsid w:val="36E82A86"/>
    <w:rsid w:val="36E97A0B"/>
    <w:rsid w:val="36EA370F"/>
    <w:rsid w:val="36EB266A"/>
    <w:rsid w:val="36EE3B93"/>
    <w:rsid w:val="36EF0093"/>
    <w:rsid w:val="36EF6496"/>
    <w:rsid w:val="36F52914"/>
    <w:rsid w:val="36FA3E55"/>
    <w:rsid w:val="37003060"/>
    <w:rsid w:val="37032A19"/>
    <w:rsid w:val="3704345F"/>
    <w:rsid w:val="37061F8B"/>
    <w:rsid w:val="37094D38"/>
    <w:rsid w:val="370D59E0"/>
    <w:rsid w:val="370F63DF"/>
    <w:rsid w:val="370F6D79"/>
    <w:rsid w:val="371148D9"/>
    <w:rsid w:val="37156F88"/>
    <w:rsid w:val="372657E2"/>
    <w:rsid w:val="372D064F"/>
    <w:rsid w:val="372E6499"/>
    <w:rsid w:val="37321784"/>
    <w:rsid w:val="373B31EA"/>
    <w:rsid w:val="374012E9"/>
    <w:rsid w:val="374534D2"/>
    <w:rsid w:val="374E7653"/>
    <w:rsid w:val="37500835"/>
    <w:rsid w:val="375236F4"/>
    <w:rsid w:val="3752650C"/>
    <w:rsid w:val="3754277A"/>
    <w:rsid w:val="37543CFB"/>
    <w:rsid w:val="37550848"/>
    <w:rsid w:val="37574F2D"/>
    <w:rsid w:val="375A0B3F"/>
    <w:rsid w:val="375A6BD7"/>
    <w:rsid w:val="375E3C55"/>
    <w:rsid w:val="3760580C"/>
    <w:rsid w:val="37611C78"/>
    <w:rsid w:val="37675326"/>
    <w:rsid w:val="3768205D"/>
    <w:rsid w:val="376A5D2E"/>
    <w:rsid w:val="376A5EFB"/>
    <w:rsid w:val="377673A8"/>
    <w:rsid w:val="377C1434"/>
    <w:rsid w:val="377F3FF2"/>
    <w:rsid w:val="3783485D"/>
    <w:rsid w:val="37885005"/>
    <w:rsid w:val="378967D9"/>
    <w:rsid w:val="378F2852"/>
    <w:rsid w:val="37930B09"/>
    <w:rsid w:val="37954266"/>
    <w:rsid w:val="37956D5A"/>
    <w:rsid w:val="37971EF0"/>
    <w:rsid w:val="37981959"/>
    <w:rsid w:val="379D14A8"/>
    <w:rsid w:val="37A2598D"/>
    <w:rsid w:val="37A3398B"/>
    <w:rsid w:val="37AA57E1"/>
    <w:rsid w:val="37B87824"/>
    <w:rsid w:val="37BC5C00"/>
    <w:rsid w:val="37C22E42"/>
    <w:rsid w:val="37C46D2B"/>
    <w:rsid w:val="37CA3E33"/>
    <w:rsid w:val="37CA5B39"/>
    <w:rsid w:val="37CB5A55"/>
    <w:rsid w:val="37D76FF7"/>
    <w:rsid w:val="37E72A9F"/>
    <w:rsid w:val="37E73669"/>
    <w:rsid w:val="37E92A3F"/>
    <w:rsid w:val="37F1459E"/>
    <w:rsid w:val="37F14FA7"/>
    <w:rsid w:val="37F235DD"/>
    <w:rsid w:val="37F57DE3"/>
    <w:rsid w:val="37FB19F8"/>
    <w:rsid w:val="37FB7D2D"/>
    <w:rsid w:val="38017F4B"/>
    <w:rsid w:val="38053C8E"/>
    <w:rsid w:val="380D17DB"/>
    <w:rsid w:val="38177249"/>
    <w:rsid w:val="38185B5C"/>
    <w:rsid w:val="38221BF7"/>
    <w:rsid w:val="38264E2F"/>
    <w:rsid w:val="382F702F"/>
    <w:rsid w:val="38331D60"/>
    <w:rsid w:val="38356E64"/>
    <w:rsid w:val="383615DA"/>
    <w:rsid w:val="383A0C79"/>
    <w:rsid w:val="383E7456"/>
    <w:rsid w:val="383F5370"/>
    <w:rsid w:val="38422736"/>
    <w:rsid w:val="38496CB0"/>
    <w:rsid w:val="384A7D15"/>
    <w:rsid w:val="384F5619"/>
    <w:rsid w:val="3850647B"/>
    <w:rsid w:val="38510D08"/>
    <w:rsid w:val="38514AC2"/>
    <w:rsid w:val="3854078E"/>
    <w:rsid w:val="3854516A"/>
    <w:rsid w:val="38554EF6"/>
    <w:rsid w:val="38624FC2"/>
    <w:rsid w:val="386C071D"/>
    <w:rsid w:val="387406D9"/>
    <w:rsid w:val="3874112D"/>
    <w:rsid w:val="3877197A"/>
    <w:rsid w:val="38856826"/>
    <w:rsid w:val="388B19AD"/>
    <w:rsid w:val="388C2577"/>
    <w:rsid w:val="388E46C0"/>
    <w:rsid w:val="389703EE"/>
    <w:rsid w:val="389838C6"/>
    <w:rsid w:val="389969E2"/>
    <w:rsid w:val="38997765"/>
    <w:rsid w:val="389A7D65"/>
    <w:rsid w:val="38A36BC8"/>
    <w:rsid w:val="38A55696"/>
    <w:rsid w:val="38AF6483"/>
    <w:rsid w:val="38B07D42"/>
    <w:rsid w:val="38B32B36"/>
    <w:rsid w:val="38B91261"/>
    <w:rsid w:val="38BF05C6"/>
    <w:rsid w:val="38C02337"/>
    <w:rsid w:val="38C26AE5"/>
    <w:rsid w:val="38C3546F"/>
    <w:rsid w:val="38C42BC0"/>
    <w:rsid w:val="38CB3D03"/>
    <w:rsid w:val="38CE1465"/>
    <w:rsid w:val="38CF53F2"/>
    <w:rsid w:val="38D357A0"/>
    <w:rsid w:val="38DB1DBB"/>
    <w:rsid w:val="38E532DA"/>
    <w:rsid w:val="38E67E88"/>
    <w:rsid w:val="38E67F3C"/>
    <w:rsid w:val="38EC6159"/>
    <w:rsid w:val="38EE33A9"/>
    <w:rsid w:val="38F24DAA"/>
    <w:rsid w:val="38F5717C"/>
    <w:rsid w:val="38FC47C8"/>
    <w:rsid w:val="38FD7758"/>
    <w:rsid w:val="38FE72DA"/>
    <w:rsid w:val="39091FC3"/>
    <w:rsid w:val="390D43EF"/>
    <w:rsid w:val="390E15C9"/>
    <w:rsid w:val="391175CF"/>
    <w:rsid w:val="39136250"/>
    <w:rsid w:val="39153127"/>
    <w:rsid w:val="39161B92"/>
    <w:rsid w:val="39163E20"/>
    <w:rsid w:val="39204934"/>
    <w:rsid w:val="392102E2"/>
    <w:rsid w:val="3925049B"/>
    <w:rsid w:val="39330CD3"/>
    <w:rsid w:val="393A5188"/>
    <w:rsid w:val="393E5D87"/>
    <w:rsid w:val="39410582"/>
    <w:rsid w:val="394964D3"/>
    <w:rsid w:val="394E2DA8"/>
    <w:rsid w:val="39524EF3"/>
    <w:rsid w:val="3957356F"/>
    <w:rsid w:val="395D6FAF"/>
    <w:rsid w:val="39611068"/>
    <w:rsid w:val="396777C1"/>
    <w:rsid w:val="3974343C"/>
    <w:rsid w:val="39752D68"/>
    <w:rsid w:val="39790FB5"/>
    <w:rsid w:val="397A01BF"/>
    <w:rsid w:val="397B2571"/>
    <w:rsid w:val="39897D35"/>
    <w:rsid w:val="398B09CF"/>
    <w:rsid w:val="398F4D71"/>
    <w:rsid w:val="3993034E"/>
    <w:rsid w:val="3998248E"/>
    <w:rsid w:val="399C4987"/>
    <w:rsid w:val="399E7CB7"/>
    <w:rsid w:val="39A2632E"/>
    <w:rsid w:val="39AE1D78"/>
    <w:rsid w:val="39B43FE8"/>
    <w:rsid w:val="39B57B99"/>
    <w:rsid w:val="39BB2CC8"/>
    <w:rsid w:val="39C0462B"/>
    <w:rsid w:val="39C21E54"/>
    <w:rsid w:val="39C37243"/>
    <w:rsid w:val="39C541A8"/>
    <w:rsid w:val="39C55DDD"/>
    <w:rsid w:val="39C75AD3"/>
    <w:rsid w:val="39CA7C6B"/>
    <w:rsid w:val="39D23511"/>
    <w:rsid w:val="39D27126"/>
    <w:rsid w:val="39D42118"/>
    <w:rsid w:val="39D84A7F"/>
    <w:rsid w:val="39D9682E"/>
    <w:rsid w:val="39DA0AF2"/>
    <w:rsid w:val="39DF67ED"/>
    <w:rsid w:val="39E3122A"/>
    <w:rsid w:val="39E40DE1"/>
    <w:rsid w:val="39E62E98"/>
    <w:rsid w:val="39E773ED"/>
    <w:rsid w:val="39E859D2"/>
    <w:rsid w:val="39E91EB2"/>
    <w:rsid w:val="39EE03CF"/>
    <w:rsid w:val="39EE3A24"/>
    <w:rsid w:val="39F46AD3"/>
    <w:rsid w:val="39F90B15"/>
    <w:rsid w:val="39FB136E"/>
    <w:rsid w:val="3A032023"/>
    <w:rsid w:val="3A0B0927"/>
    <w:rsid w:val="3A0D4633"/>
    <w:rsid w:val="3A0E208D"/>
    <w:rsid w:val="3A0E2608"/>
    <w:rsid w:val="3A1021F1"/>
    <w:rsid w:val="3A1731BF"/>
    <w:rsid w:val="3A1D195E"/>
    <w:rsid w:val="3A2348D5"/>
    <w:rsid w:val="3A271E5A"/>
    <w:rsid w:val="3A280141"/>
    <w:rsid w:val="3A332CF9"/>
    <w:rsid w:val="3A38702A"/>
    <w:rsid w:val="3A392148"/>
    <w:rsid w:val="3A3A5366"/>
    <w:rsid w:val="3A3F57EC"/>
    <w:rsid w:val="3A40507C"/>
    <w:rsid w:val="3A4879E7"/>
    <w:rsid w:val="3A492ADD"/>
    <w:rsid w:val="3A492E5E"/>
    <w:rsid w:val="3A4E4EE0"/>
    <w:rsid w:val="3A520860"/>
    <w:rsid w:val="3A530425"/>
    <w:rsid w:val="3A5534FA"/>
    <w:rsid w:val="3A5703A9"/>
    <w:rsid w:val="3A582508"/>
    <w:rsid w:val="3A5920FB"/>
    <w:rsid w:val="3A5C328C"/>
    <w:rsid w:val="3A665AA6"/>
    <w:rsid w:val="3A676EB0"/>
    <w:rsid w:val="3A6F4387"/>
    <w:rsid w:val="3A71552F"/>
    <w:rsid w:val="3A765E6F"/>
    <w:rsid w:val="3A7A5B15"/>
    <w:rsid w:val="3A815CC9"/>
    <w:rsid w:val="3A833496"/>
    <w:rsid w:val="3A842650"/>
    <w:rsid w:val="3A871335"/>
    <w:rsid w:val="3A8C6D28"/>
    <w:rsid w:val="3A97475B"/>
    <w:rsid w:val="3A9C364E"/>
    <w:rsid w:val="3A9E5B25"/>
    <w:rsid w:val="3A9F1737"/>
    <w:rsid w:val="3AA01F33"/>
    <w:rsid w:val="3AA27D81"/>
    <w:rsid w:val="3AA5456C"/>
    <w:rsid w:val="3AAD251D"/>
    <w:rsid w:val="3AAE0AE3"/>
    <w:rsid w:val="3AAE7C28"/>
    <w:rsid w:val="3AB330F2"/>
    <w:rsid w:val="3AC218B9"/>
    <w:rsid w:val="3AC85C71"/>
    <w:rsid w:val="3AD314C9"/>
    <w:rsid w:val="3AD74D28"/>
    <w:rsid w:val="3ADD28A3"/>
    <w:rsid w:val="3ADE12D5"/>
    <w:rsid w:val="3ADF1436"/>
    <w:rsid w:val="3AE44D48"/>
    <w:rsid w:val="3AEA3DF1"/>
    <w:rsid w:val="3AEA7B94"/>
    <w:rsid w:val="3AF454EE"/>
    <w:rsid w:val="3AF725D7"/>
    <w:rsid w:val="3AF91F0C"/>
    <w:rsid w:val="3AF941E5"/>
    <w:rsid w:val="3B0503CE"/>
    <w:rsid w:val="3B072071"/>
    <w:rsid w:val="3B0A157F"/>
    <w:rsid w:val="3B0B6510"/>
    <w:rsid w:val="3B0E5895"/>
    <w:rsid w:val="3B111C33"/>
    <w:rsid w:val="3B131D77"/>
    <w:rsid w:val="3B143F0E"/>
    <w:rsid w:val="3B144CC3"/>
    <w:rsid w:val="3B1B6382"/>
    <w:rsid w:val="3B1C1757"/>
    <w:rsid w:val="3B205B20"/>
    <w:rsid w:val="3B2D47C9"/>
    <w:rsid w:val="3B323C51"/>
    <w:rsid w:val="3B352B29"/>
    <w:rsid w:val="3B3D5E84"/>
    <w:rsid w:val="3B3E1D34"/>
    <w:rsid w:val="3B3E4CFC"/>
    <w:rsid w:val="3B3F568A"/>
    <w:rsid w:val="3B40575C"/>
    <w:rsid w:val="3B417EA2"/>
    <w:rsid w:val="3B436909"/>
    <w:rsid w:val="3B463B86"/>
    <w:rsid w:val="3B4A2E28"/>
    <w:rsid w:val="3B4A52CF"/>
    <w:rsid w:val="3B522B48"/>
    <w:rsid w:val="3B5336B3"/>
    <w:rsid w:val="3B58504F"/>
    <w:rsid w:val="3B5B144A"/>
    <w:rsid w:val="3B63678E"/>
    <w:rsid w:val="3B6E1AB7"/>
    <w:rsid w:val="3B6F6CD8"/>
    <w:rsid w:val="3B771F5B"/>
    <w:rsid w:val="3B7E1704"/>
    <w:rsid w:val="3B842DF1"/>
    <w:rsid w:val="3B8A4538"/>
    <w:rsid w:val="3B8F1EB8"/>
    <w:rsid w:val="3B900E74"/>
    <w:rsid w:val="3B9F2507"/>
    <w:rsid w:val="3BA34D1A"/>
    <w:rsid w:val="3BAA674A"/>
    <w:rsid w:val="3BB76FB4"/>
    <w:rsid w:val="3BB827C0"/>
    <w:rsid w:val="3BBB7A8A"/>
    <w:rsid w:val="3BC06DF1"/>
    <w:rsid w:val="3BC42E63"/>
    <w:rsid w:val="3BC51A1E"/>
    <w:rsid w:val="3BC64927"/>
    <w:rsid w:val="3BC7345B"/>
    <w:rsid w:val="3BC91666"/>
    <w:rsid w:val="3BCA2438"/>
    <w:rsid w:val="3BCC457F"/>
    <w:rsid w:val="3BCE242D"/>
    <w:rsid w:val="3BD30024"/>
    <w:rsid w:val="3BD406F5"/>
    <w:rsid w:val="3BD903B7"/>
    <w:rsid w:val="3BDF32DF"/>
    <w:rsid w:val="3BDF5C9E"/>
    <w:rsid w:val="3BE406C1"/>
    <w:rsid w:val="3BF00265"/>
    <w:rsid w:val="3BF51C7A"/>
    <w:rsid w:val="3C002C7A"/>
    <w:rsid w:val="3C05192B"/>
    <w:rsid w:val="3C0B230F"/>
    <w:rsid w:val="3C0F0475"/>
    <w:rsid w:val="3C1A64C6"/>
    <w:rsid w:val="3C1C144C"/>
    <w:rsid w:val="3C202579"/>
    <w:rsid w:val="3C24002A"/>
    <w:rsid w:val="3C257D11"/>
    <w:rsid w:val="3C2A29CB"/>
    <w:rsid w:val="3C2D58E4"/>
    <w:rsid w:val="3C330DEB"/>
    <w:rsid w:val="3C38371A"/>
    <w:rsid w:val="3C384897"/>
    <w:rsid w:val="3C3B3401"/>
    <w:rsid w:val="3C3C32AA"/>
    <w:rsid w:val="3C3C7476"/>
    <w:rsid w:val="3C3E1FDA"/>
    <w:rsid w:val="3C4249A6"/>
    <w:rsid w:val="3C431DCF"/>
    <w:rsid w:val="3C473A8E"/>
    <w:rsid w:val="3C480EAC"/>
    <w:rsid w:val="3C4C7E2C"/>
    <w:rsid w:val="3C562685"/>
    <w:rsid w:val="3C596027"/>
    <w:rsid w:val="3C5E0FB6"/>
    <w:rsid w:val="3C610B7F"/>
    <w:rsid w:val="3C674042"/>
    <w:rsid w:val="3C6A10F4"/>
    <w:rsid w:val="3C706538"/>
    <w:rsid w:val="3C706743"/>
    <w:rsid w:val="3C71344D"/>
    <w:rsid w:val="3C732DDB"/>
    <w:rsid w:val="3C757438"/>
    <w:rsid w:val="3C763D85"/>
    <w:rsid w:val="3C7B2F84"/>
    <w:rsid w:val="3C7D2483"/>
    <w:rsid w:val="3C83366F"/>
    <w:rsid w:val="3C8A5729"/>
    <w:rsid w:val="3C8B2F19"/>
    <w:rsid w:val="3C8C09F0"/>
    <w:rsid w:val="3C8C4549"/>
    <w:rsid w:val="3C8D1643"/>
    <w:rsid w:val="3C8E6BE1"/>
    <w:rsid w:val="3C9F7ACA"/>
    <w:rsid w:val="3CA820B5"/>
    <w:rsid w:val="3CA837F5"/>
    <w:rsid w:val="3CAD2AD1"/>
    <w:rsid w:val="3CB355CF"/>
    <w:rsid w:val="3CB912B9"/>
    <w:rsid w:val="3CBA322D"/>
    <w:rsid w:val="3CBC1ED6"/>
    <w:rsid w:val="3CC7098B"/>
    <w:rsid w:val="3CC8363F"/>
    <w:rsid w:val="3CCE14AF"/>
    <w:rsid w:val="3CD26C1F"/>
    <w:rsid w:val="3CE1244B"/>
    <w:rsid w:val="3CE13289"/>
    <w:rsid w:val="3CE23C96"/>
    <w:rsid w:val="3CEC64DA"/>
    <w:rsid w:val="3CF013DC"/>
    <w:rsid w:val="3CF156C3"/>
    <w:rsid w:val="3CF21009"/>
    <w:rsid w:val="3D013AE4"/>
    <w:rsid w:val="3D024379"/>
    <w:rsid w:val="3D042423"/>
    <w:rsid w:val="3D055C12"/>
    <w:rsid w:val="3D072048"/>
    <w:rsid w:val="3D0B68E0"/>
    <w:rsid w:val="3D0D0182"/>
    <w:rsid w:val="3D110760"/>
    <w:rsid w:val="3D1114AD"/>
    <w:rsid w:val="3D121B72"/>
    <w:rsid w:val="3D185A02"/>
    <w:rsid w:val="3D1E1969"/>
    <w:rsid w:val="3D1E2A48"/>
    <w:rsid w:val="3D20687E"/>
    <w:rsid w:val="3D233277"/>
    <w:rsid w:val="3D346C9B"/>
    <w:rsid w:val="3D3764B0"/>
    <w:rsid w:val="3D3F161C"/>
    <w:rsid w:val="3D487895"/>
    <w:rsid w:val="3D4F2264"/>
    <w:rsid w:val="3D4F4713"/>
    <w:rsid w:val="3D5052AF"/>
    <w:rsid w:val="3D51289D"/>
    <w:rsid w:val="3D516A15"/>
    <w:rsid w:val="3D530D22"/>
    <w:rsid w:val="3D5A545D"/>
    <w:rsid w:val="3D5C3A27"/>
    <w:rsid w:val="3D6756EB"/>
    <w:rsid w:val="3D677C94"/>
    <w:rsid w:val="3D6E0D98"/>
    <w:rsid w:val="3D6F349E"/>
    <w:rsid w:val="3D703B71"/>
    <w:rsid w:val="3D7151B4"/>
    <w:rsid w:val="3D772E4F"/>
    <w:rsid w:val="3D785CA3"/>
    <w:rsid w:val="3D7D5A86"/>
    <w:rsid w:val="3D822488"/>
    <w:rsid w:val="3D823C73"/>
    <w:rsid w:val="3D862EC5"/>
    <w:rsid w:val="3D890DCF"/>
    <w:rsid w:val="3D950BD3"/>
    <w:rsid w:val="3D976DA1"/>
    <w:rsid w:val="3D9A1CEA"/>
    <w:rsid w:val="3D9C17BA"/>
    <w:rsid w:val="3D9D00F9"/>
    <w:rsid w:val="3D9F002C"/>
    <w:rsid w:val="3D9F6D69"/>
    <w:rsid w:val="3DA213E7"/>
    <w:rsid w:val="3DA6317C"/>
    <w:rsid w:val="3DA901A8"/>
    <w:rsid w:val="3DAC1A0C"/>
    <w:rsid w:val="3DAC2B83"/>
    <w:rsid w:val="3DB41FE3"/>
    <w:rsid w:val="3DB623B5"/>
    <w:rsid w:val="3DB95085"/>
    <w:rsid w:val="3DC22D08"/>
    <w:rsid w:val="3DCB113E"/>
    <w:rsid w:val="3DD005A3"/>
    <w:rsid w:val="3DD04CDD"/>
    <w:rsid w:val="3DD73D32"/>
    <w:rsid w:val="3DD941B7"/>
    <w:rsid w:val="3DE20E53"/>
    <w:rsid w:val="3DE464C6"/>
    <w:rsid w:val="3DE6424A"/>
    <w:rsid w:val="3DE70CB0"/>
    <w:rsid w:val="3DEB3F50"/>
    <w:rsid w:val="3DF359CB"/>
    <w:rsid w:val="3DF52514"/>
    <w:rsid w:val="3DFB00CC"/>
    <w:rsid w:val="3E01464A"/>
    <w:rsid w:val="3E022261"/>
    <w:rsid w:val="3E0A7B67"/>
    <w:rsid w:val="3E0D376D"/>
    <w:rsid w:val="3E0F1E57"/>
    <w:rsid w:val="3E0F6EB0"/>
    <w:rsid w:val="3E11139E"/>
    <w:rsid w:val="3E114D0C"/>
    <w:rsid w:val="3E1F5236"/>
    <w:rsid w:val="3E2003D9"/>
    <w:rsid w:val="3E261C65"/>
    <w:rsid w:val="3E2C0236"/>
    <w:rsid w:val="3E2E38D0"/>
    <w:rsid w:val="3E323125"/>
    <w:rsid w:val="3E3712D6"/>
    <w:rsid w:val="3E3C453A"/>
    <w:rsid w:val="3E3E0C8C"/>
    <w:rsid w:val="3E4109AC"/>
    <w:rsid w:val="3E4411FC"/>
    <w:rsid w:val="3E450472"/>
    <w:rsid w:val="3E4B71C1"/>
    <w:rsid w:val="3E5C5253"/>
    <w:rsid w:val="3E5D0FA2"/>
    <w:rsid w:val="3E60051C"/>
    <w:rsid w:val="3E7C1F15"/>
    <w:rsid w:val="3E7E0146"/>
    <w:rsid w:val="3E821E22"/>
    <w:rsid w:val="3E8977B4"/>
    <w:rsid w:val="3E8E63FD"/>
    <w:rsid w:val="3E9A2EBB"/>
    <w:rsid w:val="3E9F03F2"/>
    <w:rsid w:val="3EA20E87"/>
    <w:rsid w:val="3EB6678E"/>
    <w:rsid w:val="3EBD40BA"/>
    <w:rsid w:val="3EC2199E"/>
    <w:rsid w:val="3EC5423B"/>
    <w:rsid w:val="3EC8722D"/>
    <w:rsid w:val="3ED22010"/>
    <w:rsid w:val="3ED81E6E"/>
    <w:rsid w:val="3ED86200"/>
    <w:rsid w:val="3ED953F2"/>
    <w:rsid w:val="3EDE4F3D"/>
    <w:rsid w:val="3EEA476D"/>
    <w:rsid w:val="3EEB734A"/>
    <w:rsid w:val="3EEB7CEF"/>
    <w:rsid w:val="3EEE4288"/>
    <w:rsid w:val="3EEE67FE"/>
    <w:rsid w:val="3EF15719"/>
    <w:rsid w:val="3EF32FAE"/>
    <w:rsid w:val="3EFF482E"/>
    <w:rsid w:val="3F047AEA"/>
    <w:rsid w:val="3F065CA6"/>
    <w:rsid w:val="3F077AC3"/>
    <w:rsid w:val="3F0D65D1"/>
    <w:rsid w:val="3F141FFC"/>
    <w:rsid w:val="3F163A7B"/>
    <w:rsid w:val="3F1839FB"/>
    <w:rsid w:val="3F21283D"/>
    <w:rsid w:val="3F264863"/>
    <w:rsid w:val="3F2C1225"/>
    <w:rsid w:val="3F2C6319"/>
    <w:rsid w:val="3F363D97"/>
    <w:rsid w:val="3F375D5D"/>
    <w:rsid w:val="3F430704"/>
    <w:rsid w:val="3F4B0208"/>
    <w:rsid w:val="3F4E0407"/>
    <w:rsid w:val="3F506CCD"/>
    <w:rsid w:val="3F533E50"/>
    <w:rsid w:val="3F5B1670"/>
    <w:rsid w:val="3F5D4618"/>
    <w:rsid w:val="3F63437D"/>
    <w:rsid w:val="3F657EFF"/>
    <w:rsid w:val="3F67381D"/>
    <w:rsid w:val="3F676BCA"/>
    <w:rsid w:val="3F695778"/>
    <w:rsid w:val="3F6C0040"/>
    <w:rsid w:val="3F6C1D6E"/>
    <w:rsid w:val="3F6C5FA2"/>
    <w:rsid w:val="3F6E1F18"/>
    <w:rsid w:val="3F6F7D74"/>
    <w:rsid w:val="3F702387"/>
    <w:rsid w:val="3F7A3904"/>
    <w:rsid w:val="3F7C345F"/>
    <w:rsid w:val="3F800EA0"/>
    <w:rsid w:val="3F88591A"/>
    <w:rsid w:val="3F955AE7"/>
    <w:rsid w:val="3F9911D6"/>
    <w:rsid w:val="3F9F5740"/>
    <w:rsid w:val="3FA42BB1"/>
    <w:rsid w:val="3FA74E53"/>
    <w:rsid w:val="3FA75D8A"/>
    <w:rsid w:val="3FA77831"/>
    <w:rsid w:val="3FAE3DFA"/>
    <w:rsid w:val="3FBA53D2"/>
    <w:rsid w:val="3FBA6FA3"/>
    <w:rsid w:val="3FBE69AF"/>
    <w:rsid w:val="3FC05789"/>
    <w:rsid w:val="3FC2797B"/>
    <w:rsid w:val="3FCA6F9B"/>
    <w:rsid w:val="3FD537DD"/>
    <w:rsid w:val="3FD7792D"/>
    <w:rsid w:val="3FD822DE"/>
    <w:rsid w:val="3FDC4382"/>
    <w:rsid w:val="3FE06E4D"/>
    <w:rsid w:val="3FE30BFF"/>
    <w:rsid w:val="3FE76C43"/>
    <w:rsid w:val="3FEB1428"/>
    <w:rsid w:val="3FEC4F13"/>
    <w:rsid w:val="3FED5823"/>
    <w:rsid w:val="3FF00A14"/>
    <w:rsid w:val="3FFA009F"/>
    <w:rsid w:val="3FFB07D1"/>
    <w:rsid w:val="3FFB2FE7"/>
    <w:rsid w:val="3FFF730A"/>
    <w:rsid w:val="40037811"/>
    <w:rsid w:val="40046092"/>
    <w:rsid w:val="40064D72"/>
    <w:rsid w:val="4007401C"/>
    <w:rsid w:val="40160144"/>
    <w:rsid w:val="402307F6"/>
    <w:rsid w:val="403045DC"/>
    <w:rsid w:val="40311D00"/>
    <w:rsid w:val="40332BC6"/>
    <w:rsid w:val="403434CB"/>
    <w:rsid w:val="40363D0D"/>
    <w:rsid w:val="403E1EB1"/>
    <w:rsid w:val="404747A3"/>
    <w:rsid w:val="404A2CB2"/>
    <w:rsid w:val="404A638B"/>
    <w:rsid w:val="404E3A71"/>
    <w:rsid w:val="40505B4B"/>
    <w:rsid w:val="40545FFE"/>
    <w:rsid w:val="405B648B"/>
    <w:rsid w:val="40644B43"/>
    <w:rsid w:val="4066739A"/>
    <w:rsid w:val="406733A8"/>
    <w:rsid w:val="406D1B56"/>
    <w:rsid w:val="406D5C13"/>
    <w:rsid w:val="406F42CB"/>
    <w:rsid w:val="40701A8C"/>
    <w:rsid w:val="407C354E"/>
    <w:rsid w:val="407D63A8"/>
    <w:rsid w:val="40803811"/>
    <w:rsid w:val="4084312D"/>
    <w:rsid w:val="40866EBB"/>
    <w:rsid w:val="408A682B"/>
    <w:rsid w:val="408F216E"/>
    <w:rsid w:val="40921307"/>
    <w:rsid w:val="4094620F"/>
    <w:rsid w:val="409830AE"/>
    <w:rsid w:val="40A876D7"/>
    <w:rsid w:val="40AE4D1E"/>
    <w:rsid w:val="40AF143F"/>
    <w:rsid w:val="40B015FF"/>
    <w:rsid w:val="40C373B3"/>
    <w:rsid w:val="40C52B32"/>
    <w:rsid w:val="40D46D05"/>
    <w:rsid w:val="40D477B8"/>
    <w:rsid w:val="40DC5B7C"/>
    <w:rsid w:val="40F0589A"/>
    <w:rsid w:val="40F41371"/>
    <w:rsid w:val="40F67194"/>
    <w:rsid w:val="40FD410D"/>
    <w:rsid w:val="41027124"/>
    <w:rsid w:val="41027D33"/>
    <w:rsid w:val="41070E7A"/>
    <w:rsid w:val="410840AF"/>
    <w:rsid w:val="410C3C94"/>
    <w:rsid w:val="410C55BD"/>
    <w:rsid w:val="410E1F8A"/>
    <w:rsid w:val="41116D1B"/>
    <w:rsid w:val="41135618"/>
    <w:rsid w:val="411460EC"/>
    <w:rsid w:val="4115375B"/>
    <w:rsid w:val="4116029C"/>
    <w:rsid w:val="41160C7E"/>
    <w:rsid w:val="41177B95"/>
    <w:rsid w:val="41212317"/>
    <w:rsid w:val="41236BC9"/>
    <w:rsid w:val="41317226"/>
    <w:rsid w:val="413D0CA9"/>
    <w:rsid w:val="413E616F"/>
    <w:rsid w:val="413E7D68"/>
    <w:rsid w:val="4147182F"/>
    <w:rsid w:val="41493D81"/>
    <w:rsid w:val="414F509B"/>
    <w:rsid w:val="415377DD"/>
    <w:rsid w:val="415A2554"/>
    <w:rsid w:val="415D32D9"/>
    <w:rsid w:val="416039B0"/>
    <w:rsid w:val="416C05F2"/>
    <w:rsid w:val="416C119D"/>
    <w:rsid w:val="416C6E6B"/>
    <w:rsid w:val="416D4543"/>
    <w:rsid w:val="417477BB"/>
    <w:rsid w:val="417F1F85"/>
    <w:rsid w:val="41842677"/>
    <w:rsid w:val="41994E87"/>
    <w:rsid w:val="419B3C81"/>
    <w:rsid w:val="419C52BF"/>
    <w:rsid w:val="41A00CB4"/>
    <w:rsid w:val="41A37B71"/>
    <w:rsid w:val="41A42A9A"/>
    <w:rsid w:val="41A50B5E"/>
    <w:rsid w:val="41AA014B"/>
    <w:rsid w:val="41AA3751"/>
    <w:rsid w:val="41AB3F5C"/>
    <w:rsid w:val="41AB4C72"/>
    <w:rsid w:val="41AC12E5"/>
    <w:rsid w:val="41B03EF2"/>
    <w:rsid w:val="41B12862"/>
    <w:rsid w:val="41B6128E"/>
    <w:rsid w:val="41C6512B"/>
    <w:rsid w:val="41C82406"/>
    <w:rsid w:val="41C872E6"/>
    <w:rsid w:val="41CB512B"/>
    <w:rsid w:val="41CD279D"/>
    <w:rsid w:val="41D5643B"/>
    <w:rsid w:val="41E609D3"/>
    <w:rsid w:val="41E8762B"/>
    <w:rsid w:val="41E919F7"/>
    <w:rsid w:val="41EA7EA0"/>
    <w:rsid w:val="41EB170B"/>
    <w:rsid w:val="41F00E25"/>
    <w:rsid w:val="41F170CB"/>
    <w:rsid w:val="41F74F73"/>
    <w:rsid w:val="41F978B0"/>
    <w:rsid w:val="41FC65D3"/>
    <w:rsid w:val="4201117C"/>
    <w:rsid w:val="42064908"/>
    <w:rsid w:val="420938DF"/>
    <w:rsid w:val="420978A9"/>
    <w:rsid w:val="421022D9"/>
    <w:rsid w:val="421160D7"/>
    <w:rsid w:val="42122DFE"/>
    <w:rsid w:val="42194B55"/>
    <w:rsid w:val="42273570"/>
    <w:rsid w:val="422A7F74"/>
    <w:rsid w:val="422C1B6A"/>
    <w:rsid w:val="42301704"/>
    <w:rsid w:val="42317C06"/>
    <w:rsid w:val="42357AE9"/>
    <w:rsid w:val="423B7891"/>
    <w:rsid w:val="423C2F5B"/>
    <w:rsid w:val="42426F60"/>
    <w:rsid w:val="42440060"/>
    <w:rsid w:val="42496E56"/>
    <w:rsid w:val="424B49AE"/>
    <w:rsid w:val="424D5F67"/>
    <w:rsid w:val="42524E64"/>
    <w:rsid w:val="42530C13"/>
    <w:rsid w:val="42546B47"/>
    <w:rsid w:val="42613B88"/>
    <w:rsid w:val="42633B6A"/>
    <w:rsid w:val="42666010"/>
    <w:rsid w:val="427A7361"/>
    <w:rsid w:val="427F7B5C"/>
    <w:rsid w:val="4287745E"/>
    <w:rsid w:val="428C32C8"/>
    <w:rsid w:val="428D4BDD"/>
    <w:rsid w:val="42904F88"/>
    <w:rsid w:val="4292561B"/>
    <w:rsid w:val="429B2712"/>
    <w:rsid w:val="429B5288"/>
    <w:rsid w:val="42A56C4B"/>
    <w:rsid w:val="42A60509"/>
    <w:rsid w:val="42AB4C71"/>
    <w:rsid w:val="42AE23FB"/>
    <w:rsid w:val="42B8535D"/>
    <w:rsid w:val="42BC6038"/>
    <w:rsid w:val="42C55F0B"/>
    <w:rsid w:val="42CB66B9"/>
    <w:rsid w:val="42D847DF"/>
    <w:rsid w:val="42DE3EA3"/>
    <w:rsid w:val="42E442A0"/>
    <w:rsid w:val="42E55E32"/>
    <w:rsid w:val="42EA3D64"/>
    <w:rsid w:val="42EA5934"/>
    <w:rsid w:val="42EB454D"/>
    <w:rsid w:val="42EC322A"/>
    <w:rsid w:val="42F5262B"/>
    <w:rsid w:val="42F72693"/>
    <w:rsid w:val="42F93979"/>
    <w:rsid w:val="42FA7FC3"/>
    <w:rsid w:val="42FD5760"/>
    <w:rsid w:val="42FE270F"/>
    <w:rsid w:val="43002F6D"/>
    <w:rsid w:val="43073525"/>
    <w:rsid w:val="430A2B5A"/>
    <w:rsid w:val="430D3075"/>
    <w:rsid w:val="43291CCE"/>
    <w:rsid w:val="432C563D"/>
    <w:rsid w:val="432D6912"/>
    <w:rsid w:val="43304148"/>
    <w:rsid w:val="43317344"/>
    <w:rsid w:val="43320E90"/>
    <w:rsid w:val="433455A6"/>
    <w:rsid w:val="433A0AF9"/>
    <w:rsid w:val="43421D33"/>
    <w:rsid w:val="434609AC"/>
    <w:rsid w:val="43462EF8"/>
    <w:rsid w:val="434D44FC"/>
    <w:rsid w:val="435C382E"/>
    <w:rsid w:val="435C7DD3"/>
    <w:rsid w:val="435D0DF1"/>
    <w:rsid w:val="435E2475"/>
    <w:rsid w:val="435E6642"/>
    <w:rsid w:val="435F37B3"/>
    <w:rsid w:val="43621587"/>
    <w:rsid w:val="436306C2"/>
    <w:rsid w:val="43651D7A"/>
    <w:rsid w:val="43673342"/>
    <w:rsid w:val="43693C02"/>
    <w:rsid w:val="436C6F81"/>
    <w:rsid w:val="436D46F5"/>
    <w:rsid w:val="437602DD"/>
    <w:rsid w:val="437643E4"/>
    <w:rsid w:val="437C7E88"/>
    <w:rsid w:val="437E4365"/>
    <w:rsid w:val="43813451"/>
    <w:rsid w:val="43825099"/>
    <w:rsid w:val="43863A7E"/>
    <w:rsid w:val="438A77DD"/>
    <w:rsid w:val="43952370"/>
    <w:rsid w:val="439D5778"/>
    <w:rsid w:val="439F2E3A"/>
    <w:rsid w:val="43A32397"/>
    <w:rsid w:val="43AA6FCF"/>
    <w:rsid w:val="43AB5289"/>
    <w:rsid w:val="43AD0300"/>
    <w:rsid w:val="43B00830"/>
    <w:rsid w:val="43B05D9E"/>
    <w:rsid w:val="43B755E6"/>
    <w:rsid w:val="43B9773D"/>
    <w:rsid w:val="43BD09C9"/>
    <w:rsid w:val="43C2754D"/>
    <w:rsid w:val="43C31A86"/>
    <w:rsid w:val="43D04A77"/>
    <w:rsid w:val="43D23868"/>
    <w:rsid w:val="43DC761E"/>
    <w:rsid w:val="43E6461C"/>
    <w:rsid w:val="43E756C4"/>
    <w:rsid w:val="43EA2D6E"/>
    <w:rsid w:val="43EF3867"/>
    <w:rsid w:val="43FD34F0"/>
    <w:rsid w:val="43FF5D99"/>
    <w:rsid w:val="43FF66E2"/>
    <w:rsid w:val="44002F20"/>
    <w:rsid w:val="44092212"/>
    <w:rsid w:val="440F0C34"/>
    <w:rsid w:val="44125969"/>
    <w:rsid w:val="44154FA7"/>
    <w:rsid w:val="44173F56"/>
    <w:rsid w:val="441F03AE"/>
    <w:rsid w:val="44266714"/>
    <w:rsid w:val="442A0F96"/>
    <w:rsid w:val="44302495"/>
    <w:rsid w:val="4432172A"/>
    <w:rsid w:val="44334F73"/>
    <w:rsid w:val="44350E20"/>
    <w:rsid w:val="4438677C"/>
    <w:rsid w:val="443F2566"/>
    <w:rsid w:val="444400DB"/>
    <w:rsid w:val="444479B1"/>
    <w:rsid w:val="44506F2B"/>
    <w:rsid w:val="445175E8"/>
    <w:rsid w:val="445A371B"/>
    <w:rsid w:val="445A4AF4"/>
    <w:rsid w:val="44642F11"/>
    <w:rsid w:val="44674A12"/>
    <w:rsid w:val="446762DA"/>
    <w:rsid w:val="44684782"/>
    <w:rsid w:val="44686EB8"/>
    <w:rsid w:val="446C502A"/>
    <w:rsid w:val="44757F1B"/>
    <w:rsid w:val="447730D7"/>
    <w:rsid w:val="4477528B"/>
    <w:rsid w:val="44783356"/>
    <w:rsid w:val="447834A9"/>
    <w:rsid w:val="447A01F8"/>
    <w:rsid w:val="447A2214"/>
    <w:rsid w:val="448446FE"/>
    <w:rsid w:val="448D38BA"/>
    <w:rsid w:val="448F5E95"/>
    <w:rsid w:val="44914ED1"/>
    <w:rsid w:val="44961F66"/>
    <w:rsid w:val="449A2B93"/>
    <w:rsid w:val="449A3246"/>
    <w:rsid w:val="449D0227"/>
    <w:rsid w:val="449D1D66"/>
    <w:rsid w:val="44A06F2C"/>
    <w:rsid w:val="44A52F51"/>
    <w:rsid w:val="44A53404"/>
    <w:rsid w:val="44A9416B"/>
    <w:rsid w:val="44AC223E"/>
    <w:rsid w:val="44B721AC"/>
    <w:rsid w:val="44BA02EC"/>
    <w:rsid w:val="44BB1D7F"/>
    <w:rsid w:val="44BE2CDD"/>
    <w:rsid w:val="44C474BC"/>
    <w:rsid w:val="44CC56EA"/>
    <w:rsid w:val="44D034E6"/>
    <w:rsid w:val="44D94820"/>
    <w:rsid w:val="44D96C04"/>
    <w:rsid w:val="44D9795D"/>
    <w:rsid w:val="44DA4055"/>
    <w:rsid w:val="44E2365D"/>
    <w:rsid w:val="44E73351"/>
    <w:rsid w:val="44F306CD"/>
    <w:rsid w:val="44F4321B"/>
    <w:rsid w:val="44F52779"/>
    <w:rsid w:val="44F60650"/>
    <w:rsid w:val="44FB6758"/>
    <w:rsid w:val="44FF016D"/>
    <w:rsid w:val="44FF5F4F"/>
    <w:rsid w:val="45030754"/>
    <w:rsid w:val="45055BA1"/>
    <w:rsid w:val="450A76A4"/>
    <w:rsid w:val="45141E9D"/>
    <w:rsid w:val="451D091F"/>
    <w:rsid w:val="451D401A"/>
    <w:rsid w:val="452561DB"/>
    <w:rsid w:val="45263ABC"/>
    <w:rsid w:val="45295147"/>
    <w:rsid w:val="452A0C37"/>
    <w:rsid w:val="452C5A99"/>
    <w:rsid w:val="452F2608"/>
    <w:rsid w:val="45316D40"/>
    <w:rsid w:val="454100D8"/>
    <w:rsid w:val="45434E9A"/>
    <w:rsid w:val="45441EDC"/>
    <w:rsid w:val="454473BA"/>
    <w:rsid w:val="455B6389"/>
    <w:rsid w:val="45631DF8"/>
    <w:rsid w:val="456352E0"/>
    <w:rsid w:val="45654009"/>
    <w:rsid w:val="456A0142"/>
    <w:rsid w:val="456B4032"/>
    <w:rsid w:val="456D74FA"/>
    <w:rsid w:val="45734A78"/>
    <w:rsid w:val="457646C0"/>
    <w:rsid w:val="457B0AFD"/>
    <w:rsid w:val="457C175B"/>
    <w:rsid w:val="45830925"/>
    <w:rsid w:val="45870848"/>
    <w:rsid w:val="458B3E0E"/>
    <w:rsid w:val="459015BD"/>
    <w:rsid w:val="45912592"/>
    <w:rsid w:val="459364A1"/>
    <w:rsid w:val="45951491"/>
    <w:rsid w:val="45955A15"/>
    <w:rsid w:val="45956ACD"/>
    <w:rsid w:val="459B7739"/>
    <w:rsid w:val="459D2FD2"/>
    <w:rsid w:val="45A136BC"/>
    <w:rsid w:val="45A54D0F"/>
    <w:rsid w:val="45AD4ABC"/>
    <w:rsid w:val="45AF7F18"/>
    <w:rsid w:val="45B5790C"/>
    <w:rsid w:val="45B836E8"/>
    <w:rsid w:val="45BB7A15"/>
    <w:rsid w:val="45BD28F2"/>
    <w:rsid w:val="45CA1314"/>
    <w:rsid w:val="45CD71A1"/>
    <w:rsid w:val="45DB67D3"/>
    <w:rsid w:val="45F374BE"/>
    <w:rsid w:val="45F65434"/>
    <w:rsid w:val="460175C9"/>
    <w:rsid w:val="46050783"/>
    <w:rsid w:val="46050FD3"/>
    <w:rsid w:val="460D0030"/>
    <w:rsid w:val="46132512"/>
    <w:rsid w:val="46133563"/>
    <w:rsid w:val="461B2FF8"/>
    <w:rsid w:val="461C1D79"/>
    <w:rsid w:val="461C35BC"/>
    <w:rsid w:val="461F5129"/>
    <w:rsid w:val="46250576"/>
    <w:rsid w:val="46255A75"/>
    <w:rsid w:val="46261D86"/>
    <w:rsid w:val="46267EDB"/>
    <w:rsid w:val="462E3601"/>
    <w:rsid w:val="462F7315"/>
    <w:rsid w:val="4631422B"/>
    <w:rsid w:val="46321FB3"/>
    <w:rsid w:val="46344AA2"/>
    <w:rsid w:val="4635253F"/>
    <w:rsid w:val="46360DF9"/>
    <w:rsid w:val="46406CA9"/>
    <w:rsid w:val="4640737F"/>
    <w:rsid w:val="46421929"/>
    <w:rsid w:val="464459D0"/>
    <w:rsid w:val="46452EAE"/>
    <w:rsid w:val="46484FB7"/>
    <w:rsid w:val="464B0EAE"/>
    <w:rsid w:val="465271CC"/>
    <w:rsid w:val="46531622"/>
    <w:rsid w:val="46562739"/>
    <w:rsid w:val="46587853"/>
    <w:rsid w:val="466510C6"/>
    <w:rsid w:val="46664C46"/>
    <w:rsid w:val="466664B9"/>
    <w:rsid w:val="4669098F"/>
    <w:rsid w:val="466F0F6E"/>
    <w:rsid w:val="466F5571"/>
    <w:rsid w:val="4672098C"/>
    <w:rsid w:val="46726D52"/>
    <w:rsid w:val="467E3541"/>
    <w:rsid w:val="46800237"/>
    <w:rsid w:val="46807F7A"/>
    <w:rsid w:val="468857EA"/>
    <w:rsid w:val="468B167E"/>
    <w:rsid w:val="468F112A"/>
    <w:rsid w:val="46910D17"/>
    <w:rsid w:val="469E7AC6"/>
    <w:rsid w:val="46A47F8B"/>
    <w:rsid w:val="46AB2660"/>
    <w:rsid w:val="46AC2D06"/>
    <w:rsid w:val="46AE696D"/>
    <w:rsid w:val="46AF5DD0"/>
    <w:rsid w:val="46B80FDC"/>
    <w:rsid w:val="46BB5442"/>
    <w:rsid w:val="46CA455E"/>
    <w:rsid w:val="46CF1C22"/>
    <w:rsid w:val="46D51D3F"/>
    <w:rsid w:val="46D92BF6"/>
    <w:rsid w:val="46DB2A31"/>
    <w:rsid w:val="46DE1F03"/>
    <w:rsid w:val="46EA65BE"/>
    <w:rsid w:val="46F06095"/>
    <w:rsid w:val="46F32FAC"/>
    <w:rsid w:val="46F3688F"/>
    <w:rsid w:val="46F37281"/>
    <w:rsid w:val="46F80B7F"/>
    <w:rsid w:val="46FA023B"/>
    <w:rsid w:val="46FE478D"/>
    <w:rsid w:val="47094DB6"/>
    <w:rsid w:val="470A52FC"/>
    <w:rsid w:val="470C0B8C"/>
    <w:rsid w:val="470D0A62"/>
    <w:rsid w:val="471619FF"/>
    <w:rsid w:val="47174100"/>
    <w:rsid w:val="471A20EE"/>
    <w:rsid w:val="47201B8D"/>
    <w:rsid w:val="4721543C"/>
    <w:rsid w:val="4723246F"/>
    <w:rsid w:val="472672F6"/>
    <w:rsid w:val="472773EC"/>
    <w:rsid w:val="472E0B19"/>
    <w:rsid w:val="47324F8A"/>
    <w:rsid w:val="4735613F"/>
    <w:rsid w:val="47370F07"/>
    <w:rsid w:val="47381070"/>
    <w:rsid w:val="47387475"/>
    <w:rsid w:val="473B6E38"/>
    <w:rsid w:val="474655C1"/>
    <w:rsid w:val="475544CB"/>
    <w:rsid w:val="475E3F98"/>
    <w:rsid w:val="476145C9"/>
    <w:rsid w:val="4762104B"/>
    <w:rsid w:val="4773682B"/>
    <w:rsid w:val="4774227E"/>
    <w:rsid w:val="477608B5"/>
    <w:rsid w:val="47844541"/>
    <w:rsid w:val="478E5540"/>
    <w:rsid w:val="478E5DA0"/>
    <w:rsid w:val="478F12F7"/>
    <w:rsid w:val="47902409"/>
    <w:rsid w:val="47997B4B"/>
    <w:rsid w:val="479A1D3F"/>
    <w:rsid w:val="479C7548"/>
    <w:rsid w:val="479E4AFC"/>
    <w:rsid w:val="47A63C9B"/>
    <w:rsid w:val="47AE5CF7"/>
    <w:rsid w:val="47B77514"/>
    <w:rsid w:val="47B83D9B"/>
    <w:rsid w:val="47B91329"/>
    <w:rsid w:val="47B96CCE"/>
    <w:rsid w:val="47BA158F"/>
    <w:rsid w:val="47BF4033"/>
    <w:rsid w:val="47C239F1"/>
    <w:rsid w:val="47C53F0C"/>
    <w:rsid w:val="47C623F5"/>
    <w:rsid w:val="47C73660"/>
    <w:rsid w:val="47CA2B95"/>
    <w:rsid w:val="47D00ED5"/>
    <w:rsid w:val="47D65641"/>
    <w:rsid w:val="47D74EBF"/>
    <w:rsid w:val="47D82F4C"/>
    <w:rsid w:val="47D97634"/>
    <w:rsid w:val="47DC6DC1"/>
    <w:rsid w:val="47DF5975"/>
    <w:rsid w:val="47E010AE"/>
    <w:rsid w:val="47E076D3"/>
    <w:rsid w:val="47E2273F"/>
    <w:rsid w:val="47E34E61"/>
    <w:rsid w:val="47EA64B8"/>
    <w:rsid w:val="47EF11C2"/>
    <w:rsid w:val="47F02527"/>
    <w:rsid w:val="47F2327C"/>
    <w:rsid w:val="47F5593A"/>
    <w:rsid w:val="47F60690"/>
    <w:rsid w:val="47F6546F"/>
    <w:rsid w:val="47FA5621"/>
    <w:rsid w:val="47FC28EB"/>
    <w:rsid w:val="48102374"/>
    <w:rsid w:val="48172E9B"/>
    <w:rsid w:val="48181DFC"/>
    <w:rsid w:val="481E6599"/>
    <w:rsid w:val="482B3DE5"/>
    <w:rsid w:val="482E156C"/>
    <w:rsid w:val="48304E71"/>
    <w:rsid w:val="483264E1"/>
    <w:rsid w:val="483338D0"/>
    <w:rsid w:val="48434036"/>
    <w:rsid w:val="484776A0"/>
    <w:rsid w:val="484818E5"/>
    <w:rsid w:val="484A1EE1"/>
    <w:rsid w:val="484E08DD"/>
    <w:rsid w:val="484E266E"/>
    <w:rsid w:val="484E3184"/>
    <w:rsid w:val="485025C3"/>
    <w:rsid w:val="485212B4"/>
    <w:rsid w:val="48552E8B"/>
    <w:rsid w:val="48567AA6"/>
    <w:rsid w:val="4858115B"/>
    <w:rsid w:val="48597467"/>
    <w:rsid w:val="48685BD5"/>
    <w:rsid w:val="48740660"/>
    <w:rsid w:val="48752DC7"/>
    <w:rsid w:val="48765A89"/>
    <w:rsid w:val="4878494C"/>
    <w:rsid w:val="487D23AF"/>
    <w:rsid w:val="487E5F02"/>
    <w:rsid w:val="488B2925"/>
    <w:rsid w:val="488B3EC2"/>
    <w:rsid w:val="489073D7"/>
    <w:rsid w:val="48945538"/>
    <w:rsid w:val="489815DE"/>
    <w:rsid w:val="489D7479"/>
    <w:rsid w:val="489E7C8E"/>
    <w:rsid w:val="48A70558"/>
    <w:rsid w:val="48B16EF2"/>
    <w:rsid w:val="48B55015"/>
    <w:rsid w:val="48B64BC4"/>
    <w:rsid w:val="48C13E0B"/>
    <w:rsid w:val="48C34373"/>
    <w:rsid w:val="48CB630E"/>
    <w:rsid w:val="48D065E6"/>
    <w:rsid w:val="48D15D80"/>
    <w:rsid w:val="48D57475"/>
    <w:rsid w:val="48DA20DE"/>
    <w:rsid w:val="48DD435D"/>
    <w:rsid w:val="48E10A93"/>
    <w:rsid w:val="48E251EF"/>
    <w:rsid w:val="48E36F80"/>
    <w:rsid w:val="48E617C6"/>
    <w:rsid w:val="48E94062"/>
    <w:rsid w:val="48EA1DCC"/>
    <w:rsid w:val="48EF237B"/>
    <w:rsid w:val="48F00928"/>
    <w:rsid w:val="48F11282"/>
    <w:rsid w:val="48F16015"/>
    <w:rsid w:val="48F1749F"/>
    <w:rsid w:val="48FC3C8F"/>
    <w:rsid w:val="48FF4E0B"/>
    <w:rsid w:val="49011A64"/>
    <w:rsid w:val="49013489"/>
    <w:rsid w:val="490F5573"/>
    <w:rsid w:val="491058C5"/>
    <w:rsid w:val="4913074F"/>
    <w:rsid w:val="49136376"/>
    <w:rsid w:val="49193C42"/>
    <w:rsid w:val="49332934"/>
    <w:rsid w:val="49356D73"/>
    <w:rsid w:val="494152B0"/>
    <w:rsid w:val="494555EC"/>
    <w:rsid w:val="494D3BBD"/>
    <w:rsid w:val="49506F27"/>
    <w:rsid w:val="49515DDB"/>
    <w:rsid w:val="4955613F"/>
    <w:rsid w:val="49585C74"/>
    <w:rsid w:val="495B3ABD"/>
    <w:rsid w:val="49610DC9"/>
    <w:rsid w:val="49614734"/>
    <w:rsid w:val="4966343B"/>
    <w:rsid w:val="496C2B99"/>
    <w:rsid w:val="496E2505"/>
    <w:rsid w:val="49761A07"/>
    <w:rsid w:val="49770B4F"/>
    <w:rsid w:val="4977105F"/>
    <w:rsid w:val="4978145F"/>
    <w:rsid w:val="497C37AC"/>
    <w:rsid w:val="498A04A8"/>
    <w:rsid w:val="49923FBE"/>
    <w:rsid w:val="49A12409"/>
    <w:rsid w:val="49B94542"/>
    <w:rsid w:val="49BA2AC7"/>
    <w:rsid w:val="49BA7C94"/>
    <w:rsid w:val="49BD4AD8"/>
    <w:rsid w:val="49BE775B"/>
    <w:rsid w:val="49C10C38"/>
    <w:rsid w:val="49C65115"/>
    <w:rsid w:val="49C90443"/>
    <w:rsid w:val="49D113DE"/>
    <w:rsid w:val="49D264A7"/>
    <w:rsid w:val="49DC370B"/>
    <w:rsid w:val="49DE4BDA"/>
    <w:rsid w:val="49DF3BD4"/>
    <w:rsid w:val="49E61F10"/>
    <w:rsid w:val="49E840B1"/>
    <w:rsid w:val="49FB2AF1"/>
    <w:rsid w:val="4A020795"/>
    <w:rsid w:val="4A034EDD"/>
    <w:rsid w:val="4A04528B"/>
    <w:rsid w:val="4A055D9E"/>
    <w:rsid w:val="4A075754"/>
    <w:rsid w:val="4A0A2099"/>
    <w:rsid w:val="4A0F0D55"/>
    <w:rsid w:val="4A147539"/>
    <w:rsid w:val="4A1730D0"/>
    <w:rsid w:val="4A201A13"/>
    <w:rsid w:val="4A231F73"/>
    <w:rsid w:val="4A275751"/>
    <w:rsid w:val="4A352D99"/>
    <w:rsid w:val="4A365098"/>
    <w:rsid w:val="4A395254"/>
    <w:rsid w:val="4A414731"/>
    <w:rsid w:val="4A456F1C"/>
    <w:rsid w:val="4A5764A8"/>
    <w:rsid w:val="4A5F0B11"/>
    <w:rsid w:val="4A5F2EDF"/>
    <w:rsid w:val="4A6F54D1"/>
    <w:rsid w:val="4A6F7C4A"/>
    <w:rsid w:val="4A714687"/>
    <w:rsid w:val="4A73153A"/>
    <w:rsid w:val="4A771025"/>
    <w:rsid w:val="4A824564"/>
    <w:rsid w:val="4A8529C1"/>
    <w:rsid w:val="4A921C86"/>
    <w:rsid w:val="4A957C5E"/>
    <w:rsid w:val="4AA02137"/>
    <w:rsid w:val="4AA550DB"/>
    <w:rsid w:val="4AAF23D7"/>
    <w:rsid w:val="4AB77F4E"/>
    <w:rsid w:val="4ABD3A27"/>
    <w:rsid w:val="4AC4604F"/>
    <w:rsid w:val="4AD1302E"/>
    <w:rsid w:val="4AD24A67"/>
    <w:rsid w:val="4AD66E3B"/>
    <w:rsid w:val="4AD70AF9"/>
    <w:rsid w:val="4ADA2678"/>
    <w:rsid w:val="4ADB38A4"/>
    <w:rsid w:val="4AE901C5"/>
    <w:rsid w:val="4AED1397"/>
    <w:rsid w:val="4AF8480F"/>
    <w:rsid w:val="4AFB3ADC"/>
    <w:rsid w:val="4AFB5D5E"/>
    <w:rsid w:val="4AFD4598"/>
    <w:rsid w:val="4B110B23"/>
    <w:rsid w:val="4B1133EB"/>
    <w:rsid w:val="4B117EA4"/>
    <w:rsid w:val="4B184035"/>
    <w:rsid w:val="4B1A48D0"/>
    <w:rsid w:val="4B1B14FB"/>
    <w:rsid w:val="4B1C5089"/>
    <w:rsid w:val="4B21776F"/>
    <w:rsid w:val="4B22045B"/>
    <w:rsid w:val="4B27072D"/>
    <w:rsid w:val="4B291F6C"/>
    <w:rsid w:val="4B2B16B4"/>
    <w:rsid w:val="4B3573BA"/>
    <w:rsid w:val="4B3D4268"/>
    <w:rsid w:val="4B3D7EBC"/>
    <w:rsid w:val="4B3E0B23"/>
    <w:rsid w:val="4B447296"/>
    <w:rsid w:val="4B4515B9"/>
    <w:rsid w:val="4B471200"/>
    <w:rsid w:val="4B4D1170"/>
    <w:rsid w:val="4B5028F8"/>
    <w:rsid w:val="4B532693"/>
    <w:rsid w:val="4B5E0B87"/>
    <w:rsid w:val="4B6067C0"/>
    <w:rsid w:val="4B6636B6"/>
    <w:rsid w:val="4B672D20"/>
    <w:rsid w:val="4B6D0219"/>
    <w:rsid w:val="4B7177AF"/>
    <w:rsid w:val="4B72340B"/>
    <w:rsid w:val="4B7D2BA9"/>
    <w:rsid w:val="4B7E0D8D"/>
    <w:rsid w:val="4B7F4570"/>
    <w:rsid w:val="4B816AF0"/>
    <w:rsid w:val="4B85334C"/>
    <w:rsid w:val="4B867FFE"/>
    <w:rsid w:val="4B873517"/>
    <w:rsid w:val="4B8A07EE"/>
    <w:rsid w:val="4B9451A8"/>
    <w:rsid w:val="4B962A35"/>
    <w:rsid w:val="4B9B563D"/>
    <w:rsid w:val="4BA24769"/>
    <w:rsid w:val="4BAF3613"/>
    <w:rsid w:val="4BB54D88"/>
    <w:rsid w:val="4BB760CE"/>
    <w:rsid w:val="4BC22889"/>
    <w:rsid w:val="4BC375A6"/>
    <w:rsid w:val="4BCF615D"/>
    <w:rsid w:val="4BD02C55"/>
    <w:rsid w:val="4BD35FF3"/>
    <w:rsid w:val="4BD82DF4"/>
    <w:rsid w:val="4BDF4C20"/>
    <w:rsid w:val="4BE9776A"/>
    <w:rsid w:val="4BEA16E2"/>
    <w:rsid w:val="4BEE00F7"/>
    <w:rsid w:val="4BEE1B38"/>
    <w:rsid w:val="4BF01536"/>
    <w:rsid w:val="4BF0486B"/>
    <w:rsid w:val="4BFB47C8"/>
    <w:rsid w:val="4C122D27"/>
    <w:rsid w:val="4C162B10"/>
    <w:rsid w:val="4C1762B7"/>
    <w:rsid w:val="4C1C2DE8"/>
    <w:rsid w:val="4C1F5344"/>
    <w:rsid w:val="4C2F1BB6"/>
    <w:rsid w:val="4C312D19"/>
    <w:rsid w:val="4C3325AF"/>
    <w:rsid w:val="4C390B61"/>
    <w:rsid w:val="4C3A6EEC"/>
    <w:rsid w:val="4C461460"/>
    <w:rsid w:val="4C4D56C6"/>
    <w:rsid w:val="4C51422D"/>
    <w:rsid w:val="4C570008"/>
    <w:rsid w:val="4C5729F5"/>
    <w:rsid w:val="4C5A0759"/>
    <w:rsid w:val="4C5A5808"/>
    <w:rsid w:val="4C675B0D"/>
    <w:rsid w:val="4C6C4D86"/>
    <w:rsid w:val="4C6E4987"/>
    <w:rsid w:val="4C744817"/>
    <w:rsid w:val="4C7B4A18"/>
    <w:rsid w:val="4C805330"/>
    <w:rsid w:val="4C8A0079"/>
    <w:rsid w:val="4C8C5F8B"/>
    <w:rsid w:val="4C913CBA"/>
    <w:rsid w:val="4C916DB5"/>
    <w:rsid w:val="4C960B95"/>
    <w:rsid w:val="4C972763"/>
    <w:rsid w:val="4C9F3EA7"/>
    <w:rsid w:val="4CA0102B"/>
    <w:rsid w:val="4CB35DB7"/>
    <w:rsid w:val="4CCC4F2E"/>
    <w:rsid w:val="4CD06289"/>
    <w:rsid w:val="4CD3067C"/>
    <w:rsid w:val="4CDB3E8B"/>
    <w:rsid w:val="4CDE743E"/>
    <w:rsid w:val="4CE456B2"/>
    <w:rsid w:val="4CE93C03"/>
    <w:rsid w:val="4CEA026D"/>
    <w:rsid w:val="4CED5CB5"/>
    <w:rsid w:val="4CFA35F3"/>
    <w:rsid w:val="4CFE6852"/>
    <w:rsid w:val="4D006B00"/>
    <w:rsid w:val="4D006CD7"/>
    <w:rsid w:val="4D025EE2"/>
    <w:rsid w:val="4D0320F8"/>
    <w:rsid w:val="4D053B1E"/>
    <w:rsid w:val="4D0923F6"/>
    <w:rsid w:val="4D0B318B"/>
    <w:rsid w:val="4D0C576B"/>
    <w:rsid w:val="4D0D6891"/>
    <w:rsid w:val="4D1072B6"/>
    <w:rsid w:val="4D1139C9"/>
    <w:rsid w:val="4D120CAB"/>
    <w:rsid w:val="4D17568F"/>
    <w:rsid w:val="4D1B403C"/>
    <w:rsid w:val="4D1C33ED"/>
    <w:rsid w:val="4D1F6001"/>
    <w:rsid w:val="4D207770"/>
    <w:rsid w:val="4D293BE0"/>
    <w:rsid w:val="4D2C78DA"/>
    <w:rsid w:val="4D307EAF"/>
    <w:rsid w:val="4D3C2FCE"/>
    <w:rsid w:val="4D3D5433"/>
    <w:rsid w:val="4D422E8D"/>
    <w:rsid w:val="4D471BF7"/>
    <w:rsid w:val="4D47264A"/>
    <w:rsid w:val="4D57602B"/>
    <w:rsid w:val="4D5A6FE0"/>
    <w:rsid w:val="4D607950"/>
    <w:rsid w:val="4D627232"/>
    <w:rsid w:val="4D652E05"/>
    <w:rsid w:val="4D6C5B10"/>
    <w:rsid w:val="4D6C7764"/>
    <w:rsid w:val="4D6F0B61"/>
    <w:rsid w:val="4D775918"/>
    <w:rsid w:val="4D7C5E0E"/>
    <w:rsid w:val="4D7E6616"/>
    <w:rsid w:val="4D8A35E5"/>
    <w:rsid w:val="4D960591"/>
    <w:rsid w:val="4D9933AF"/>
    <w:rsid w:val="4D9B29DD"/>
    <w:rsid w:val="4D9C0AF8"/>
    <w:rsid w:val="4DA169F2"/>
    <w:rsid w:val="4DA51305"/>
    <w:rsid w:val="4DA70C8A"/>
    <w:rsid w:val="4DAC0217"/>
    <w:rsid w:val="4DB05212"/>
    <w:rsid w:val="4DB0788A"/>
    <w:rsid w:val="4DB422E3"/>
    <w:rsid w:val="4DB62A8C"/>
    <w:rsid w:val="4DB852A8"/>
    <w:rsid w:val="4DBB0851"/>
    <w:rsid w:val="4DBF737A"/>
    <w:rsid w:val="4DC15F14"/>
    <w:rsid w:val="4DC83D45"/>
    <w:rsid w:val="4DD13EF9"/>
    <w:rsid w:val="4DD27048"/>
    <w:rsid w:val="4DD50404"/>
    <w:rsid w:val="4DD7523E"/>
    <w:rsid w:val="4DE04D4B"/>
    <w:rsid w:val="4DE24CF3"/>
    <w:rsid w:val="4DE64479"/>
    <w:rsid w:val="4DE73E5F"/>
    <w:rsid w:val="4DE85FE9"/>
    <w:rsid w:val="4DF11286"/>
    <w:rsid w:val="4DF11DBB"/>
    <w:rsid w:val="4DF30A54"/>
    <w:rsid w:val="4DF82F4D"/>
    <w:rsid w:val="4DFE53D0"/>
    <w:rsid w:val="4E1263E2"/>
    <w:rsid w:val="4E155F92"/>
    <w:rsid w:val="4E180DB0"/>
    <w:rsid w:val="4E1832FF"/>
    <w:rsid w:val="4E185DF1"/>
    <w:rsid w:val="4E1A419B"/>
    <w:rsid w:val="4E1D78F0"/>
    <w:rsid w:val="4E1F70CB"/>
    <w:rsid w:val="4E267B0E"/>
    <w:rsid w:val="4E273923"/>
    <w:rsid w:val="4E3067D3"/>
    <w:rsid w:val="4E3702E2"/>
    <w:rsid w:val="4E383332"/>
    <w:rsid w:val="4E3B1555"/>
    <w:rsid w:val="4E3C6242"/>
    <w:rsid w:val="4E4330CA"/>
    <w:rsid w:val="4E477E86"/>
    <w:rsid w:val="4E4802D4"/>
    <w:rsid w:val="4E4824B6"/>
    <w:rsid w:val="4E4A3612"/>
    <w:rsid w:val="4E4D00D6"/>
    <w:rsid w:val="4E504DF2"/>
    <w:rsid w:val="4E553FE5"/>
    <w:rsid w:val="4E5C22A4"/>
    <w:rsid w:val="4E5D3E6F"/>
    <w:rsid w:val="4E622BBD"/>
    <w:rsid w:val="4E6424BC"/>
    <w:rsid w:val="4E661998"/>
    <w:rsid w:val="4E683358"/>
    <w:rsid w:val="4E6B2E4F"/>
    <w:rsid w:val="4E6D51CE"/>
    <w:rsid w:val="4E6F7032"/>
    <w:rsid w:val="4E811D71"/>
    <w:rsid w:val="4E8276C3"/>
    <w:rsid w:val="4E8473D4"/>
    <w:rsid w:val="4E8717B9"/>
    <w:rsid w:val="4E9533FF"/>
    <w:rsid w:val="4E960EDB"/>
    <w:rsid w:val="4E964EBA"/>
    <w:rsid w:val="4E98597B"/>
    <w:rsid w:val="4E9B432D"/>
    <w:rsid w:val="4E9D3398"/>
    <w:rsid w:val="4E9D36D0"/>
    <w:rsid w:val="4E9D43BD"/>
    <w:rsid w:val="4EA05104"/>
    <w:rsid w:val="4EA14868"/>
    <w:rsid w:val="4EA1736F"/>
    <w:rsid w:val="4EA54209"/>
    <w:rsid w:val="4EB85400"/>
    <w:rsid w:val="4EBC6BCC"/>
    <w:rsid w:val="4EC01B77"/>
    <w:rsid w:val="4EC14E3F"/>
    <w:rsid w:val="4EC4379F"/>
    <w:rsid w:val="4EC466E0"/>
    <w:rsid w:val="4ECC50DB"/>
    <w:rsid w:val="4EDE3803"/>
    <w:rsid w:val="4EDF5355"/>
    <w:rsid w:val="4EE353D7"/>
    <w:rsid w:val="4EE35B9A"/>
    <w:rsid w:val="4EE478F9"/>
    <w:rsid w:val="4EEC3BED"/>
    <w:rsid w:val="4EF568A7"/>
    <w:rsid w:val="4EF5726C"/>
    <w:rsid w:val="4EF73300"/>
    <w:rsid w:val="4EF910CD"/>
    <w:rsid w:val="4EFB5B2F"/>
    <w:rsid w:val="4EFB5BBF"/>
    <w:rsid w:val="4EFC4BB9"/>
    <w:rsid w:val="4F007FAB"/>
    <w:rsid w:val="4F0C196B"/>
    <w:rsid w:val="4F0D324A"/>
    <w:rsid w:val="4F0F155E"/>
    <w:rsid w:val="4F101913"/>
    <w:rsid w:val="4F106B7A"/>
    <w:rsid w:val="4F144655"/>
    <w:rsid w:val="4F1A2A99"/>
    <w:rsid w:val="4F227BA2"/>
    <w:rsid w:val="4F251427"/>
    <w:rsid w:val="4F2933A5"/>
    <w:rsid w:val="4F2C20B3"/>
    <w:rsid w:val="4F2D08AA"/>
    <w:rsid w:val="4F2D66E0"/>
    <w:rsid w:val="4F2E6EF7"/>
    <w:rsid w:val="4F326095"/>
    <w:rsid w:val="4F3B6553"/>
    <w:rsid w:val="4F3D072C"/>
    <w:rsid w:val="4F413575"/>
    <w:rsid w:val="4F4515F4"/>
    <w:rsid w:val="4F5B627F"/>
    <w:rsid w:val="4F5E15E3"/>
    <w:rsid w:val="4F612B3C"/>
    <w:rsid w:val="4F6679A2"/>
    <w:rsid w:val="4F6C7125"/>
    <w:rsid w:val="4F6D4B42"/>
    <w:rsid w:val="4F6F0EE8"/>
    <w:rsid w:val="4F783E8D"/>
    <w:rsid w:val="4F7E615D"/>
    <w:rsid w:val="4F7F0FA1"/>
    <w:rsid w:val="4F7F40FE"/>
    <w:rsid w:val="4F80494D"/>
    <w:rsid w:val="4F863967"/>
    <w:rsid w:val="4F8A5CF8"/>
    <w:rsid w:val="4F8C6F2A"/>
    <w:rsid w:val="4F8F7B21"/>
    <w:rsid w:val="4F99479F"/>
    <w:rsid w:val="4FA26012"/>
    <w:rsid w:val="4FA37883"/>
    <w:rsid w:val="4FA75B30"/>
    <w:rsid w:val="4FB175B4"/>
    <w:rsid w:val="4FB716BB"/>
    <w:rsid w:val="4FBF65CE"/>
    <w:rsid w:val="4FC07FE3"/>
    <w:rsid w:val="4FC75DFB"/>
    <w:rsid w:val="4FC761E9"/>
    <w:rsid w:val="4FD278A4"/>
    <w:rsid w:val="4FE07B2A"/>
    <w:rsid w:val="4FEB55E4"/>
    <w:rsid w:val="4FF9307C"/>
    <w:rsid w:val="4FFA3D99"/>
    <w:rsid w:val="4FFE4DE2"/>
    <w:rsid w:val="50034EBF"/>
    <w:rsid w:val="5007148F"/>
    <w:rsid w:val="500B38AE"/>
    <w:rsid w:val="500D4D1E"/>
    <w:rsid w:val="50100C5F"/>
    <w:rsid w:val="501405A8"/>
    <w:rsid w:val="50154925"/>
    <w:rsid w:val="5017171F"/>
    <w:rsid w:val="50185794"/>
    <w:rsid w:val="50192EA7"/>
    <w:rsid w:val="501E72C9"/>
    <w:rsid w:val="50233F5A"/>
    <w:rsid w:val="50245A8E"/>
    <w:rsid w:val="5028524C"/>
    <w:rsid w:val="50332D2D"/>
    <w:rsid w:val="503444FE"/>
    <w:rsid w:val="50353582"/>
    <w:rsid w:val="503D6772"/>
    <w:rsid w:val="503F4A9F"/>
    <w:rsid w:val="504C3C83"/>
    <w:rsid w:val="505006DF"/>
    <w:rsid w:val="50501A45"/>
    <w:rsid w:val="505C713A"/>
    <w:rsid w:val="50600E6E"/>
    <w:rsid w:val="5069775C"/>
    <w:rsid w:val="506C210E"/>
    <w:rsid w:val="506C3081"/>
    <w:rsid w:val="506C41CD"/>
    <w:rsid w:val="506D6A7A"/>
    <w:rsid w:val="506F6F58"/>
    <w:rsid w:val="5072688D"/>
    <w:rsid w:val="50771094"/>
    <w:rsid w:val="5079013E"/>
    <w:rsid w:val="507B581F"/>
    <w:rsid w:val="507C1868"/>
    <w:rsid w:val="508308F0"/>
    <w:rsid w:val="50866038"/>
    <w:rsid w:val="508A0A0E"/>
    <w:rsid w:val="5090422B"/>
    <w:rsid w:val="5094194A"/>
    <w:rsid w:val="509431E7"/>
    <w:rsid w:val="509A498C"/>
    <w:rsid w:val="509C2DD0"/>
    <w:rsid w:val="509C6F91"/>
    <w:rsid w:val="509D1532"/>
    <w:rsid w:val="509F7B23"/>
    <w:rsid w:val="50A043D0"/>
    <w:rsid w:val="50A548A1"/>
    <w:rsid w:val="50A61DF5"/>
    <w:rsid w:val="50A749F7"/>
    <w:rsid w:val="50B0590F"/>
    <w:rsid w:val="50B50B78"/>
    <w:rsid w:val="50B7065D"/>
    <w:rsid w:val="50BF7C57"/>
    <w:rsid w:val="50C018A8"/>
    <w:rsid w:val="50C94142"/>
    <w:rsid w:val="50CC77C6"/>
    <w:rsid w:val="50D206D0"/>
    <w:rsid w:val="50D35F77"/>
    <w:rsid w:val="50D86D39"/>
    <w:rsid w:val="50DB02B3"/>
    <w:rsid w:val="50E527C1"/>
    <w:rsid w:val="50E54ED1"/>
    <w:rsid w:val="50F213D8"/>
    <w:rsid w:val="50F25D5B"/>
    <w:rsid w:val="50F432AA"/>
    <w:rsid w:val="50F51516"/>
    <w:rsid w:val="50F526E6"/>
    <w:rsid w:val="50F55A40"/>
    <w:rsid w:val="50FF0662"/>
    <w:rsid w:val="51057EB7"/>
    <w:rsid w:val="51071DD8"/>
    <w:rsid w:val="510A2E0D"/>
    <w:rsid w:val="510A629A"/>
    <w:rsid w:val="510C6DE0"/>
    <w:rsid w:val="51101AC9"/>
    <w:rsid w:val="51154098"/>
    <w:rsid w:val="51171A79"/>
    <w:rsid w:val="5119391D"/>
    <w:rsid w:val="511A2AFC"/>
    <w:rsid w:val="511E2016"/>
    <w:rsid w:val="51221D61"/>
    <w:rsid w:val="512237AA"/>
    <w:rsid w:val="5123119F"/>
    <w:rsid w:val="5123676F"/>
    <w:rsid w:val="512368C2"/>
    <w:rsid w:val="51283DFD"/>
    <w:rsid w:val="512B6449"/>
    <w:rsid w:val="512C4EB9"/>
    <w:rsid w:val="512D0F47"/>
    <w:rsid w:val="512E5C4E"/>
    <w:rsid w:val="51303957"/>
    <w:rsid w:val="513060BD"/>
    <w:rsid w:val="513252D7"/>
    <w:rsid w:val="513648AA"/>
    <w:rsid w:val="51380FD8"/>
    <w:rsid w:val="51394263"/>
    <w:rsid w:val="513968A8"/>
    <w:rsid w:val="51397AE5"/>
    <w:rsid w:val="513A13CC"/>
    <w:rsid w:val="513A23D1"/>
    <w:rsid w:val="513C786C"/>
    <w:rsid w:val="513F14AA"/>
    <w:rsid w:val="514C5269"/>
    <w:rsid w:val="514F1927"/>
    <w:rsid w:val="5155099C"/>
    <w:rsid w:val="515C08B4"/>
    <w:rsid w:val="515C654D"/>
    <w:rsid w:val="51600E02"/>
    <w:rsid w:val="51647D98"/>
    <w:rsid w:val="51695CEF"/>
    <w:rsid w:val="516A1B35"/>
    <w:rsid w:val="516D5E81"/>
    <w:rsid w:val="5175137E"/>
    <w:rsid w:val="51770895"/>
    <w:rsid w:val="517768DC"/>
    <w:rsid w:val="517F7750"/>
    <w:rsid w:val="518308D5"/>
    <w:rsid w:val="51844E01"/>
    <w:rsid w:val="51863EDE"/>
    <w:rsid w:val="518B48D4"/>
    <w:rsid w:val="519A5F67"/>
    <w:rsid w:val="519C003D"/>
    <w:rsid w:val="519C3C79"/>
    <w:rsid w:val="51AC0D2A"/>
    <w:rsid w:val="51AD35D9"/>
    <w:rsid w:val="51AD660B"/>
    <w:rsid w:val="51B02D65"/>
    <w:rsid w:val="51B11134"/>
    <w:rsid w:val="51B65D15"/>
    <w:rsid w:val="51BE33C7"/>
    <w:rsid w:val="51C521AB"/>
    <w:rsid w:val="51C71679"/>
    <w:rsid w:val="51C7553A"/>
    <w:rsid w:val="51CA47B2"/>
    <w:rsid w:val="51CE6328"/>
    <w:rsid w:val="51CF309A"/>
    <w:rsid w:val="51D16EF2"/>
    <w:rsid w:val="51DA4591"/>
    <w:rsid w:val="51DA6866"/>
    <w:rsid w:val="51DE69B8"/>
    <w:rsid w:val="51E54E30"/>
    <w:rsid w:val="51E70DA9"/>
    <w:rsid w:val="51ED32BF"/>
    <w:rsid w:val="51EF08D3"/>
    <w:rsid w:val="51F34039"/>
    <w:rsid w:val="51F729D9"/>
    <w:rsid w:val="51FE1F51"/>
    <w:rsid w:val="52022459"/>
    <w:rsid w:val="52022F64"/>
    <w:rsid w:val="520414F1"/>
    <w:rsid w:val="520F00E6"/>
    <w:rsid w:val="5211462D"/>
    <w:rsid w:val="52116CDC"/>
    <w:rsid w:val="52125920"/>
    <w:rsid w:val="52131359"/>
    <w:rsid w:val="52143FD4"/>
    <w:rsid w:val="52165CA5"/>
    <w:rsid w:val="521B075D"/>
    <w:rsid w:val="522154B6"/>
    <w:rsid w:val="522B0928"/>
    <w:rsid w:val="522B4F52"/>
    <w:rsid w:val="522F3F71"/>
    <w:rsid w:val="52363B4B"/>
    <w:rsid w:val="52366F3F"/>
    <w:rsid w:val="52392A29"/>
    <w:rsid w:val="523D0D2D"/>
    <w:rsid w:val="523E616D"/>
    <w:rsid w:val="52402C77"/>
    <w:rsid w:val="52404BE0"/>
    <w:rsid w:val="52442651"/>
    <w:rsid w:val="524A104D"/>
    <w:rsid w:val="524A614E"/>
    <w:rsid w:val="524E5875"/>
    <w:rsid w:val="524F28F8"/>
    <w:rsid w:val="525251B6"/>
    <w:rsid w:val="5259059E"/>
    <w:rsid w:val="525A729B"/>
    <w:rsid w:val="525F433E"/>
    <w:rsid w:val="526514EE"/>
    <w:rsid w:val="526A234B"/>
    <w:rsid w:val="526C08EF"/>
    <w:rsid w:val="5270207E"/>
    <w:rsid w:val="52721B65"/>
    <w:rsid w:val="527E3917"/>
    <w:rsid w:val="527F1808"/>
    <w:rsid w:val="52826CF6"/>
    <w:rsid w:val="528606B8"/>
    <w:rsid w:val="528878B3"/>
    <w:rsid w:val="528C6096"/>
    <w:rsid w:val="52933A02"/>
    <w:rsid w:val="52954D14"/>
    <w:rsid w:val="529B7DE7"/>
    <w:rsid w:val="52A332CC"/>
    <w:rsid w:val="52A416FE"/>
    <w:rsid w:val="52AA5504"/>
    <w:rsid w:val="52AB2A72"/>
    <w:rsid w:val="52B17FAF"/>
    <w:rsid w:val="52B23FD6"/>
    <w:rsid w:val="52B35DDF"/>
    <w:rsid w:val="52BC106B"/>
    <w:rsid w:val="52BE21D5"/>
    <w:rsid w:val="52BF57B4"/>
    <w:rsid w:val="52C0108E"/>
    <w:rsid w:val="52C03752"/>
    <w:rsid w:val="52C34363"/>
    <w:rsid w:val="52C7051A"/>
    <w:rsid w:val="52C849D4"/>
    <w:rsid w:val="52CA6D3A"/>
    <w:rsid w:val="52CF298B"/>
    <w:rsid w:val="52D01A43"/>
    <w:rsid w:val="52D574EB"/>
    <w:rsid w:val="52D74923"/>
    <w:rsid w:val="52DB3373"/>
    <w:rsid w:val="52DB3E1C"/>
    <w:rsid w:val="52DD2C8B"/>
    <w:rsid w:val="52E025BD"/>
    <w:rsid w:val="52E359B3"/>
    <w:rsid w:val="52E932E5"/>
    <w:rsid w:val="52EC633A"/>
    <w:rsid w:val="52ED0230"/>
    <w:rsid w:val="52F16077"/>
    <w:rsid w:val="52F249FD"/>
    <w:rsid w:val="52F26D7A"/>
    <w:rsid w:val="52F34E7B"/>
    <w:rsid w:val="52F72633"/>
    <w:rsid w:val="52FA7EDA"/>
    <w:rsid w:val="530159F9"/>
    <w:rsid w:val="530A426C"/>
    <w:rsid w:val="53117218"/>
    <w:rsid w:val="53181153"/>
    <w:rsid w:val="53184D16"/>
    <w:rsid w:val="531B7189"/>
    <w:rsid w:val="531D0555"/>
    <w:rsid w:val="531D550D"/>
    <w:rsid w:val="53266571"/>
    <w:rsid w:val="532925D7"/>
    <w:rsid w:val="532A121E"/>
    <w:rsid w:val="533773D4"/>
    <w:rsid w:val="534431C8"/>
    <w:rsid w:val="53490982"/>
    <w:rsid w:val="534B3308"/>
    <w:rsid w:val="534B41E3"/>
    <w:rsid w:val="534D0A86"/>
    <w:rsid w:val="535200FD"/>
    <w:rsid w:val="53584A1B"/>
    <w:rsid w:val="53597E3F"/>
    <w:rsid w:val="53637CA4"/>
    <w:rsid w:val="53676D6E"/>
    <w:rsid w:val="53691EC4"/>
    <w:rsid w:val="536F73E2"/>
    <w:rsid w:val="5380401F"/>
    <w:rsid w:val="53807015"/>
    <w:rsid w:val="53817275"/>
    <w:rsid w:val="538258A3"/>
    <w:rsid w:val="538544B3"/>
    <w:rsid w:val="538758B7"/>
    <w:rsid w:val="53883945"/>
    <w:rsid w:val="538B3956"/>
    <w:rsid w:val="538C6823"/>
    <w:rsid w:val="538D0EB8"/>
    <w:rsid w:val="539224E6"/>
    <w:rsid w:val="5399722D"/>
    <w:rsid w:val="539E5B54"/>
    <w:rsid w:val="539E61D1"/>
    <w:rsid w:val="53A0518B"/>
    <w:rsid w:val="53A340AF"/>
    <w:rsid w:val="53AA24B0"/>
    <w:rsid w:val="53AC1539"/>
    <w:rsid w:val="53B54D01"/>
    <w:rsid w:val="53B62D31"/>
    <w:rsid w:val="53B82F4E"/>
    <w:rsid w:val="53CD45D9"/>
    <w:rsid w:val="53CE5A09"/>
    <w:rsid w:val="53D657E3"/>
    <w:rsid w:val="53D666CF"/>
    <w:rsid w:val="53D75B2F"/>
    <w:rsid w:val="53D86CAF"/>
    <w:rsid w:val="53E94436"/>
    <w:rsid w:val="53EB42B1"/>
    <w:rsid w:val="53EE0D74"/>
    <w:rsid w:val="53EE1F9C"/>
    <w:rsid w:val="53F162B5"/>
    <w:rsid w:val="53F752BB"/>
    <w:rsid w:val="54017F19"/>
    <w:rsid w:val="5405452B"/>
    <w:rsid w:val="540C7DAA"/>
    <w:rsid w:val="540D50DB"/>
    <w:rsid w:val="540E1489"/>
    <w:rsid w:val="541602BD"/>
    <w:rsid w:val="54186F6B"/>
    <w:rsid w:val="541E3235"/>
    <w:rsid w:val="5421022A"/>
    <w:rsid w:val="54234D40"/>
    <w:rsid w:val="54281904"/>
    <w:rsid w:val="54315712"/>
    <w:rsid w:val="5432655E"/>
    <w:rsid w:val="54387BE4"/>
    <w:rsid w:val="543D383C"/>
    <w:rsid w:val="5444132C"/>
    <w:rsid w:val="5448073E"/>
    <w:rsid w:val="544906D5"/>
    <w:rsid w:val="54496306"/>
    <w:rsid w:val="544A5E48"/>
    <w:rsid w:val="54515166"/>
    <w:rsid w:val="54575838"/>
    <w:rsid w:val="546477CC"/>
    <w:rsid w:val="5465466C"/>
    <w:rsid w:val="546E665A"/>
    <w:rsid w:val="547534B7"/>
    <w:rsid w:val="54783274"/>
    <w:rsid w:val="547C7E0A"/>
    <w:rsid w:val="54873DB3"/>
    <w:rsid w:val="5488570D"/>
    <w:rsid w:val="548A7606"/>
    <w:rsid w:val="548E2A36"/>
    <w:rsid w:val="548F670D"/>
    <w:rsid w:val="5491247A"/>
    <w:rsid w:val="5493468B"/>
    <w:rsid w:val="549802EE"/>
    <w:rsid w:val="549837F2"/>
    <w:rsid w:val="54984B9E"/>
    <w:rsid w:val="549967E3"/>
    <w:rsid w:val="54A242AE"/>
    <w:rsid w:val="54A427C6"/>
    <w:rsid w:val="54A563CD"/>
    <w:rsid w:val="54AB11DC"/>
    <w:rsid w:val="54AB5215"/>
    <w:rsid w:val="54B30C59"/>
    <w:rsid w:val="54B500A7"/>
    <w:rsid w:val="54B73AF8"/>
    <w:rsid w:val="54B90F4B"/>
    <w:rsid w:val="54B91CBA"/>
    <w:rsid w:val="54C5774C"/>
    <w:rsid w:val="54C7704A"/>
    <w:rsid w:val="54C95541"/>
    <w:rsid w:val="54CC682E"/>
    <w:rsid w:val="54D311DA"/>
    <w:rsid w:val="54D346CF"/>
    <w:rsid w:val="54D3504D"/>
    <w:rsid w:val="54DA202E"/>
    <w:rsid w:val="54DF398A"/>
    <w:rsid w:val="54F37228"/>
    <w:rsid w:val="54F9655D"/>
    <w:rsid w:val="54FA4A54"/>
    <w:rsid w:val="54FD3476"/>
    <w:rsid w:val="54FE7C59"/>
    <w:rsid w:val="5502546A"/>
    <w:rsid w:val="55071446"/>
    <w:rsid w:val="55072DC6"/>
    <w:rsid w:val="550832B5"/>
    <w:rsid w:val="550E3C3A"/>
    <w:rsid w:val="55173935"/>
    <w:rsid w:val="5519481B"/>
    <w:rsid w:val="551C2E0B"/>
    <w:rsid w:val="551C340F"/>
    <w:rsid w:val="55240479"/>
    <w:rsid w:val="552B1627"/>
    <w:rsid w:val="55353328"/>
    <w:rsid w:val="553A1F99"/>
    <w:rsid w:val="553B4533"/>
    <w:rsid w:val="553C6AC4"/>
    <w:rsid w:val="55422A5A"/>
    <w:rsid w:val="554317F7"/>
    <w:rsid w:val="554576B0"/>
    <w:rsid w:val="55494AE2"/>
    <w:rsid w:val="55495EB6"/>
    <w:rsid w:val="554B3002"/>
    <w:rsid w:val="5550673B"/>
    <w:rsid w:val="5552413A"/>
    <w:rsid w:val="55591FB7"/>
    <w:rsid w:val="55622DCC"/>
    <w:rsid w:val="556475F8"/>
    <w:rsid w:val="556560EE"/>
    <w:rsid w:val="556A1B04"/>
    <w:rsid w:val="55827C90"/>
    <w:rsid w:val="55831A52"/>
    <w:rsid w:val="55863427"/>
    <w:rsid w:val="55877B97"/>
    <w:rsid w:val="55894A02"/>
    <w:rsid w:val="559724FC"/>
    <w:rsid w:val="55974D89"/>
    <w:rsid w:val="55996BA2"/>
    <w:rsid w:val="55A30FF6"/>
    <w:rsid w:val="55A91E5B"/>
    <w:rsid w:val="55AB4579"/>
    <w:rsid w:val="55AD6E71"/>
    <w:rsid w:val="55B54F66"/>
    <w:rsid w:val="55BC3319"/>
    <w:rsid w:val="55BD3394"/>
    <w:rsid w:val="55C23B2D"/>
    <w:rsid w:val="55C66005"/>
    <w:rsid w:val="55C73D15"/>
    <w:rsid w:val="55CA63A4"/>
    <w:rsid w:val="55CC2ECD"/>
    <w:rsid w:val="55CF1741"/>
    <w:rsid w:val="55D224C7"/>
    <w:rsid w:val="55D50E83"/>
    <w:rsid w:val="55DC077A"/>
    <w:rsid w:val="55DF3AEA"/>
    <w:rsid w:val="55DF7840"/>
    <w:rsid w:val="55E32653"/>
    <w:rsid w:val="55E350C2"/>
    <w:rsid w:val="55ED1883"/>
    <w:rsid w:val="55FE143E"/>
    <w:rsid w:val="560564AB"/>
    <w:rsid w:val="56057267"/>
    <w:rsid w:val="5606277C"/>
    <w:rsid w:val="560A1A10"/>
    <w:rsid w:val="5617475D"/>
    <w:rsid w:val="561A396D"/>
    <w:rsid w:val="561F5DB4"/>
    <w:rsid w:val="5623557A"/>
    <w:rsid w:val="562572AA"/>
    <w:rsid w:val="56266651"/>
    <w:rsid w:val="562C31CF"/>
    <w:rsid w:val="56307893"/>
    <w:rsid w:val="56312BE9"/>
    <w:rsid w:val="56317DDA"/>
    <w:rsid w:val="56325BBE"/>
    <w:rsid w:val="56327F0E"/>
    <w:rsid w:val="56334262"/>
    <w:rsid w:val="563920EE"/>
    <w:rsid w:val="563A0405"/>
    <w:rsid w:val="564277C8"/>
    <w:rsid w:val="564631DA"/>
    <w:rsid w:val="56472274"/>
    <w:rsid w:val="56483856"/>
    <w:rsid w:val="564869AE"/>
    <w:rsid w:val="564E5ED7"/>
    <w:rsid w:val="564E7791"/>
    <w:rsid w:val="56503874"/>
    <w:rsid w:val="56506B2A"/>
    <w:rsid w:val="565134D5"/>
    <w:rsid w:val="56574277"/>
    <w:rsid w:val="565800F8"/>
    <w:rsid w:val="565826AB"/>
    <w:rsid w:val="565B32BD"/>
    <w:rsid w:val="565D7E99"/>
    <w:rsid w:val="5666683A"/>
    <w:rsid w:val="566F63C3"/>
    <w:rsid w:val="5670797A"/>
    <w:rsid w:val="56714813"/>
    <w:rsid w:val="56720AD5"/>
    <w:rsid w:val="567E02F2"/>
    <w:rsid w:val="568833E3"/>
    <w:rsid w:val="568D5097"/>
    <w:rsid w:val="56912E51"/>
    <w:rsid w:val="56985AC8"/>
    <w:rsid w:val="56A61BD0"/>
    <w:rsid w:val="56A7680F"/>
    <w:rsid w:val="56BB704E"/>
    <w:rsid w:val="56BD46F4"/>
    <w:rsid w:val="56BD4C06"/>
    <w:rsid w:val="56C637C4"/>
    <w:rsid w:val="56CB176F"/>
    <w:rsid w:val="56D14C11"/>
    <w:rsid w:val="56D3671B"/>
    <w:rsid w:val="56DB7451"/>
    <w:rsid w:val="56DC6C5E"/>
    <w:rsid w:val="56DF1E41"/>
    <w:rsid w:val="56E15BC8"/>
    <w:rsid w:val="56E21224"/>
    <w:rsid w:val="56E822CD"/>
    <w:rsid w:val="56EC4B78"/>
    <w:rsid w:val="56F807FF"/>
    <w:rsid w:val="56FB5445"/>
    <w:rsid w:val="5707447C"/>
    <w:rsid w:val="57126791"/>
    <w:rsid w:val="57250BF5"/>
    <w:rsid w:val="5726510F"/>
    <w:rsid w:val="572C04D3"/>
    <w:rsid w:val="572F0DDF"/>
    <w:rsid w:val="57320CD2"/>
    <w:rsid w:val="57335362"/>
    <w:rsid w:val="57383901"/>
    <w:rsid w:val="573A703B"/>
    <w:rsid w:val="573E7D64"/>
    <w:rsid w:val="573F0A52"/>
    <w:rsid w:val="575174D2"/>
    <w:rsid w:val="575B3640"/>
    <w:rsid w:val="575E41FE"/>
    <w:rsid w:val="576111E5"/>
    <w:rsid w:val="577636CD"/>
    <w:rsid w:val="57771AAE"/>
    <w:rsid w:val="57772693"/>
    <w:rsid w:val="577B58C1"/>
    <w:rsid w:val="577E3522"/>
    <w:rsid w:val="57817AA6"/>
    <w:rsid w:val="5785110B"/>
    <w:rsid w:val="578C6AF6"/>
    <w:rsid w:val="579010E4"/>
    <w:rsid w:val="57943946"/>
    <w:rsid w:val="57967CD3"/>
    <w:rsid w:val="57982B2B"/>
    <w:rsid w:val="579A099F"/>
    <w:rsid w:val="579B0A3E"/>
    <w:rsid w:val="579D35E2"/>
    <w:rsid w:val="57AA575B"/>
    <w:rsid w:val="57AD2344"/>
    <w:rsid w:val="57AD2AE0"/>
    <w:rsid w:val="57AE0515"/>
    <w:rsid w:val="57AE3FC0"/>
    <w:rsid w:val="57B1076F"/>
    <w:rsid w:val="57B40A61"/>
    <w:rsid w:val="57B75098"/>
    <w:rsid w:val="57BA16E1"/>
    <w:rsid w:val="57BA21B7"/>
    <w:rsid w:val="57BD4DEB"/>
    <w:rsid w:val="57BF22E2"/>
    <w:rsid w:val="57C10550"/>
    <w:rsid w:val="57C31672"/>
    <w:rsid w:val="57C51C63"/>
    <w:rsid w:val="57C5537E"/>
    <w:rsid w:val="57C71DED"/>
    <w:rsid w:val="57CC1A2C"/>
    <w:rsid w:val="57CC6BF9"/>
    <w:rsid w:val="57CE3CEA"/>
    <w:rsid w:val="57D064B9"/>
    <w:rsid w:val="57D3198A"/>
    <w:rsid w:val="57D839A1"/>
    <w:rsid w:val="57DA642B"/>
    <w:rsid w:val="57E37C7A"/>
    <w:rsid w:val="57EB11DC"/>
    <w:rsid w:val="57F0722B"/>
    <w:rsid w:val="57F25391"/>
    <w:rsid w:val="57F97569"/>
    <w:rsid w:val="57FA0A25"/>
    <w:rsid w:val="57FE738F"/>
    <w:rsid w:val="58081BE1"/>
    <w:rsid w:val="580C5F47"/>
    <w:rsid w:val="581004D8"/>
    <w:rsid w:val="58116D23"/>
    <w:rsid w:val="581205D5"/>
    <w:rsid w:val="58127BF5"/>
    <w:rsid w:val="581B374B"/>
    <w:rsid w:val="582965A4"/>
    <w:rsid w:val="582D28AC"/>
    <w:rsid w:val="58305D38"/>
    <w:rsid w:val="58313767"/>
    <w:rsid w:val="583423D9"/>
    <w:rsid w:val="583463B5"/>
    <w:rsid w:val="58356D1C"/>
    <w:rsid w:val="58367B13"/>
    <w:rsid w:val="583B0E95"/>
    <w:rsid w:val="583E6AF4"/>
    <w:rsid w:val="583F25C9"/>
    <w:rsid w:val="58401FE2"/>
    <w:rsid w:val="58403847"/>
    <w:rsid w:val="584509BF"/>
    <w:rsid w:val="58454189"/>
    <w:rsid w:val="584751F4"/>
    <w:rsid w:val="584C3DBE"/>
    <w:rsid w:val="584D6AEF"/>
    <w:rsid w:val="58502179"/>
    <w:rsid w:val="585242D5"/>
    <w:rsid w:val="5854718C"/>
    <w:rsid w:val="58563F3D"/>
    <w:rsid w:val="585A5CD7"/>
    <w:rsid w:val="585E0650"/>
    <w:rsid w:val="5862064D"/>
    <w:rsid w:val="58635865"/>
    <w:rsid w:val="58660413"/>
    <w:rsid w:val="586D370F"/>
    <w:rsid w:val="586E1445"/>
    <w:rsid w:val="586F3045"/>
    <w:rsid w:val="58725E9D"/>
    <w:rsid w:val="587F4CC2"/>
    <w:rsid w:val="587F7E95"/>
    <w:rsid w:val="5880752F"/>
    <w:rsid w:val="58824180"/>
    <w:rsid w:val="58862C4D"/>
    <w:rsid w:val="58870C9C"/>
    <w:rsid w:val="58933B54"/>
    <w:rsid w:val="58990456"/>
    <w:rsid w:val="589B7C1D"/>
    <w:rsid w:val="589F43E0"/>
    <w:rsid w:val="58A2100E"/>
    <w:rsid w:val="58A25B74"/>
    <w:rsid w:val="58A50E46"/>
    <w:rsid w:val="58AA1DA9"/>
    <w:rsid w:val="58AC124D"/>
    <w:rsid w:val="58B32308"/>
    <w:rsid w:val="58B634ED"/>
    <w:rsid w:val="58B80619"/>
    <w:rsid w:val="58BD184C"/>
    <w:rsid w:val="58BF32B6"/>
    <w:rsid w:val="58C0697F"/>
    <w:rsid w:val="58C2378C"/>
    <w:rsid w:val="58C51DA8"/>
    <w:rsid w:val="58C8626D"/>
    <w:rsid w:val="58C86DA8"/>
    <w:rsid w:val="58CF2685"/>
    <w:rsid w:val="58D20B8D"/>
    <w:rsid w:val="58D77141"/>
    <w:rsid w:val="58DB1389"/>
    <w:rsid w:val="58DB3DD2"/>
    <w:rsid w:val="58DD4C9F"/>
    <w:rsid w:val="58E10204"/>
    <w:rsid w:val="58E30475"/>
    <w:rsid w:val="58E3503B"/>
    <w:rsid w:val="58EA17F3"/>
    <w:rsid w:val="58F1603E"/>
    <w:rsid w:val="58F45F89"/>
    <w:rsid w:val="58FC3E41"/>
    <w:rsid w:val="58FC5C9C"/>
    <w:rsid w:val="590011D5"/>
    <w:rsid w:val="59012498"/>
    <w:rsid w:val="59033671"/>
    <w:rsid w:val="5905191C"/>
    <w:rsid w:val="59087B11"/>
    <w:rsid w:val="590C0263"/>
    <w:rsid w:val="590F32CC"/>
    <w:rsid w:val="591113AE"/>
    <w:rsid w:val="59132201"/>
    <w:rsid w:val="59157E70"/>
    <w:rsid w:val="591A55CB"/>
    <w:rsid w:val="592301EE"/>
    <w:rsid w:val="59234C08"/>
    <w:rsid w:val="59271977"/>
    <w:rsid w:val="592A701B"/>
    <w:rsid w:val="592C51FB"/>
    <w:rsid w:val="59371165"/>
    <w:rsid w:val="593A7413"/>
    <w:rsid w:val="593F6FA7"/>
    <w:rsid w:val="59403501"/>
    <w:rsid w:val="59405407"/>
    <w:rsid w:val="594310A9"/>
    <w:rsid w:val="5945565F"/>
    <w:rsid w:val="59497EF0"/>
    <w:rsid w:val="594A2997"/>
    <w:rsid w:val="594D29EA"/>
    <w:rsid w:val="594E77B2"/>
    <w:rsid w:val="594F7028"/>
    <w:rsid w:val="5951560C"/>
    <w:rsid w:val="59517AF9"/>
    <w:rsid w:val="59535858"/>
    <w:rsid w:val="595A1436"/>
    <w:rsid w:val="595C09FE"/>
    <w:rsid w:val="595C76A9"/>
    <w:rsid w:val="595D24FD"/>
    <w:rsid w:val="595D475D"/>
    <w:rsid w:val="595F395E"/>
    <w:rsid w:val="596102C6"/>
    <w:rsid w:val="59642E96"/>
    <w:rsid w:val="596676DE"/>
    <w:rsid w:val="596A2030"/>
    <w:rsid w:val="596A6A03"/>
    <w:rsid w:val="5973006A"/>
    <w:rsid w:val="59745E1E"/>
    <w:rsid w:val="597578FD"/>
    <w:rsid w:val="597E3090"/>
    <w:rsid w:val="598674C1"/>
    <w:rsid w:val="598B052C"/>
    <w:rsid w:val="5990411D"/>
    <w:rsid w:val="599C0608"/>
    <w:rsid w:val="59A4129E"/>
    <w:rsid w:val="59A842BD"/>
    <w:rsid w:val="59B364E1"/>
    <w:rsid w:val="59C4158F"/>
    <w:rsid w:val="59C504B8"/>
    <w:rsid w:val="59CC5106"/>
    <w:rsid w:val="59CF2108"/>
    <w:rsid w:val="59DA598B"/>
    <w:rsid w:val="59DB5C1D"/>
    <w:rsid w:val="59DD7EEA"/>
    <w:rsid w:val="59E13CE6"/>
    <w:rsid w:val="59E35EAB"/>
    <w:rsid w:val="59E671DE"/>
    <w:rsid w:val="59EB2C83"/>
    <w:rsid w:val="59EB3CDE"/>
    <w:rsid w:val="59EB6496"/>
    <w:rsid w:val="59F23EA6"/>
    <w:rsid w:val="59F44BBA"/>
    <w:rsid w:val="59F51E73"/>
    <w:rsid w:val="59FC3587"/>
    <w:rsid w:val="5A00257C"/>
    <w:rsid w:val="5A041568"/>
    <w:rsid w:val="5A055771"/>
    <w:rsid w:val="5A075BFE"/>
    <w:rsid w:val="5A097A5C"/>
    <w:rsid w:val="5A0E2FE7"/>
    <w:rsid w:val="5A1157B4"/>
    <w:rsid w:val="5A1510FE"/>
    <w:rsid w:val="5A177F43"/>
    <w:rsid w:val="5A2D572C"/>
    <w:rsid w:val="5A2F59F5"/>
    <w:rsid w:val="5A311340"/>
    <w:rsid w:val="5A342210"/>
    <w:rsid w:val="5A385B44"/>
    <w:rsid w:val="5A391C74"/>
    <w:rsid w:val="5A3C451C"/>
    <w:rsid w:val="5A3E4E9A"/>
    <w:rsid w:val="5A437E9E"/>
    <w:rsid w:val="5A444B84"/>
    <w:rsid w:val="5A447119"/>
    <w:rsid w:val="5A456DD3"/>
    <w:rsid w:val="5A457FD4"/>
    <w:rsid w:val="5A4850A1"/>
    <w:rsid w:val="5A4B62AB"/>
    <w:rsid w:val="5A4F6DF3"/>
    <w:rsid w:val="5A4F7C9B"/>
    <w:rsid w:val="5A507928"/>
    <w:rsid w:val="5A5B4BAC"/>
    <w:rsid w:val="5A5C58F2"/>
    <w:rsid w:val="5A670ED1"/>
    <w:rsid w:val="5A681BD3"/>
    <w:rsid w:val="5A696DA2"/>
    <w:rsid w:val="5A6B1A87"/>
    <w:rsid w:val="5A6D1CBF"/>
    <w:rsid w:val="5A6D58AF"/>
    <w:rsid w:val="5A6E1AAC"/>
    <w:rsid w:val="5A7902AE"/>
    <w:rsid w:val="5A7A18A4"/>
    <w:rsid w:val="5A7C1DA6"/>
    <w:rsid w:val="5A82285B"/>
    <w:rsid w:val="5A8F3683"/>
    <w:rsid w:val="5A9804A6"/>
    <w:rsid w:val="5A981875"/>
    <w:rsid w:val="5AA23637"/>
    <w:rsid w:val="5AA35807"/>
    <w:rsid w:val="5AA906AB"/>
    <w:rsid w:val="5AAC7BD0"/>
    <w:rsid w:val="5AB03BCB"/>
    <w:rsid w:val="5AB265B8"/>
    <w:rsid w:val="5AB31659"/>
    <w:rsid w:val="5AB41D58"/>
    <w:rsid w:val="5ABA225C"/>
    <w:rsid w:val="5ABD077B"/>
    <w:rsid w:val="5AC04291"/>
    <w:rsid w:val="5AC159B3"/>
    <w:rsid w:val="5AC41A5C"/>
    <w:rsid w:val="5AD07AF5"/>
    <w:rsid w:val="5AD45641"/>
    <w:rsid w:val="5AD557A4"/>
    <w:rsid w:val="5AD80075"/>
    <w:rsid w:val="5AE0523E"/>
    <w:rsid w:val="5AE44643"/>
    <w:rsid w:val="5AE47BEA"/>
    <w:rsid w:val="5AE52FA6"/>
    <w:rsid w:val="5AE8051D"/>
    <w:rsid w:val="5AEA1A26"/>
    <w:rsid w:val="5AF41637"/>
    <w:rsid w:val="5AFA38D3"/>
    <w:rsid w:val="5B01563B"/>
    <w:rsid w:val="5B06290E"/>
    <w:rsid w:val="5B074DC5"/>
    <w:rsid w:val="5B0E39F9"/>
    <w:rsid w:val="5B1152FE"/>
    <w:rsid w:val="5B1921F2"/>
    <w:rsid w:val="5B2364C0"/>
    <w:rsid w:val="5B2D19A4"/>
    <w:rsid w:val="5B2D5BCE"/>
    <w:rsid w:val="5B361CAE"/>
    <w:rsid w:val="5B3C018F"/>
    <w:rsid w:val="5B3D2C3A"/>
    <w:rsid w:val="5B3F4B7D"/>
    <w:rsid w:val="5B40467A"/>
    <w:rsid w:val="5B442B8E"/>
    <w:rsid w:val="5B452B43"/>
    <w:rsid w:val="5B4C4478"/>
    <w:rsid w:val="5B4D0AAC"/>
    <w:rsid w:val="5B4F595F"/>
    <w:rsid w:val="5B5450C6"/>
    <w:rsid w:val="5B580AA9"/>
    <w:rsid w:val="5B5966FB"/>
    <w:rsid w:val="5B5E24C3"/>
    <w:rsid w:val="5B5E33C9"/>
    <w:rsid w:val="5B5F5412"/>
    <w:rsid w:val="5B6E4B3D"/>
    <w:rsid w:val="5B705211"/>
    <w:rsid w:val="5B7C7930"/>
    <w:rsid w:val="5B812AB6"/>
    <w:rsid w:val="5B842A0F"/>
    <w:rsid w:val="5B8721A2"/>
    <w:rsid w:val="5B897706"/>
    <w:rsid w:val="5B8F6431"/>
    <w:rsid w:val="5B930ACF"/>
    <w:rsid w:val="5B9D4363"/>
    <w:rsid w:val="5BA027D5"/>
    <w:rsid w:val="5BA251A5"/>
    <w:rsid w:val="5BA34E37"/>
    <w:rsid w:val="5BA41EFC"/>
    <w:rsid w:val="5BA91F42"/>
    <w:rsid w:val="5BAA667D"/>
    <w:rsid w:val="5BAB68EB"/>
    <w:rsid w:val="5BB5087F"/>
    <w:rsid w:val="5BB668F7"/>
    <w:rsid w:val="5BC128D5"/>
    <w:rsid w:val="5BC14399"/>
    <w:rsid w:val="5BC44813"/>
    <w:rsid w:val="5BCC1B7C"/>
    <w:rsid w:val="5BD0370E"/>
    <w:rsid w:val="5BD34E5E"/>
    <w:rsid w:val="5BD90E6E"/>
    <w:rsid w:val="5BD9594E"/>
    <w:rsid w:val="5BDF0520"/>
    <w:rsid w:val="5BE379A2"/>
    <w:rsid w:val="5BE67D1D"/>
    <w:rsid w:val="5BE70D95"/>
    <w:rsid w:val="5BE87F10"/>
    <w:rsid w:val="5BE93378"/>
    <w:rsid w:val="5BEB0862"/>
    <w:rsid w:val="5BEB7520"/>
    <w:rsid w:val="5BF33169"/>
    <w:rsid w:val="5C0223E8"/>
    <w:rsid w:val="5C030EA9"/>
    <w:rsid w:val="5C0603DD"/>
    <w:rsid w:val="5C0F668D"/>
    <w:rsid w:val="5C170003"/>
    <w:rsid w:val="5C183ECE"/>
    <w:rsid w:val="5C1A3B54"/>
    <w:rsid w:val="5C1A5EA7"/>
    <w:rsid w:val="5C1E748B"/>
    <w:rsid w:val="5C1F3C14"/>
    <w:rsid w:val="5C2229EC"/>
    <w:rsid w:val="5C222B7C"/>
    <w:rsid w:val="5C254105"/>
    <w:rsid w:val="5C2700A0"/>
    <w:rsid w:val="5C2736BF"/>
    <w:rsid w:val="5C2C265F"/>
    <w:rsid w:val="5C3073AF"/>
    <w:rsid w:val="5C3360DC"/>
    <w:rsid w:val="5C357E6A"/>
    <w:rsid w:val="5C390D2E"/>
    <w:rsid w:val="5C3B654C"/>
    <w:rsid w:val="5C415946"/>
    <w:rsid w:val="5C433A57"/>
    <w:rsid w:val="5C491058"/>
    <w:rsid w:val="5C4A57CD"/>
    <w:rsid w:val="5C4C37F7"/>
    <w:rsid w:val="5C4C6FD5"/>
    <w:rsid w:val="5C523254"/>
    <w:rsid w:val="5C534DF5"/>
    <w:rsid w:val="5C53690D"/>
    <w:rsid w:val="5C645E64"/>
    <w:rsid w:val="5C6545EB"/>
    <w:rsid w:val="5C676DD6"/>
    <w:rsid w:val="5C6D2A75"/>
    <w:rsid w:val="5C76215B"/>
    <w:rsid w:val="5C820E20"/>
    <w:rsid w:val="5C843340"/>
    <w:rsid w:val="5C966416"/>
    <w:rsid w:val="5C9B606C"/>
    <w:rsid w:val="5C9C33C6"/>
    <w:rsid w:val="5C9C5FDA"/>
    <w:rsid w:val="5CA231BE"/>
    <w:rsid w:val="5CA2463E"/>
    <w:rsid w:val="5CA42BFD"/>
    <w:rsid w:val="5CA8187E"/>
    <w:rsid w:val="5CA94877"/>
    <w:rsid w:val="5CA971F5"/>
    <w:rsid w:val="5CAC0397"/>
    <w:rsid w:val="5CAC0ED5"/>
    <w:rsid w:val="5CAF010F"/>
    <w:rsid w:val="5CB01E08"/>
    <w:rsid w:val="5CB05A08"/>
    <w:rsid w:val="5CB35A6D"/>
    <w:rsid w:val="5CB63047"/>
    <w:rsid w:val="5CB81E62"/>
    <w:rsid w:val="5CB83BE3"/>
    <w:rsid w:val="5CC362B1"/>
    <w:rsid w:val="5CC6673D"/>
    <w:rsid w:val="5CCC74D0"/>
    <w:rsid w:val="5CCE0DFF"/>
    <w:rsid w:val="5CD0186C"/>
    <w:rsid w:val="5CD3309C"/>
    <w:rsid w:val="5CD34287"/>
    <w:rsid w:val="5CD95179"/>
    <w:rsid w:val="5CDF468A"/>
    <w:rsid w:val="5CE44779"/>
    <w:rsid w:val="5CF300DF"/>
    <w:rsid w:val="5CF46AF7"/>
    <w:rsid w:val="5CF46C23"/>
    <w:rsid w:val="5CF65F01"/>
    <w:rsid w:val="5CF70520"/>
    <w:rsid w:val="5CF73AED"/>
    <w:rsid w:val="5CF80314"/>
    <w:rsid w:val="5CFC6FE8"/>
    <w:rsid w:val="5CFD0CC8"/>
    <w:rsid w:val="5D0D17E7"/>
    <w:rsid w:val="5D0D73FE"/>
    <w:rsid w:val="5D220574"/>
    <w:rsid w:val="5D2327F0"/>
    <w:rsid w:val="5D2A2532"/>
    <w:rsid w:val="5D2D6C3E"/>
    <w:rsid w:val="5D352E6D"/>
    <w:rsid w:val="5D355108"/>
    <w:rsid w:val="5D3968B3"/>
    <w:rsid w:val="5D3C57AF"/>
    <w:rsid w:val="5D411F46"/>
    <w:rsid w:val="5D4B2C44"/>
    <w:rsid w:val="5D4C55FA"/>
    <w:rsid w:val="5D513E6A"/>
    <w:rsid w:val="5D521DEE"/>
    <w:rsid w:val="5D54486B"/>
    <w:rsid w:val="5D5B3628"/>
    <w:rsid w:val="5D5E0DED"/>
    <w:rsid w:val="5D626C6B"/>
    <w:rsid w:val="5D6377A9"/>
    <w:rsid w:val="5D675903"/>
    <w:rsid w:val="5D6C32A2"/>
    <w:rsid w:val="5D6D18C9"/>
    <w:rsid w:val="5D6E34EA"/>
    <w:rsid w:val="5D6E65F9"/>
    <w:rsid w:val="5D723DC8"/>
    <w:rsid w:val="5D7524EE"/>
    <w:rsid w:val="5D7B4EF0"/>
    <w:rsid w:val="5D812FCB"/>
    <w:rsid w:val="5D8153DB"/>
    <w:rsid w:val="5D841502"/>
    <w:rsid w:val="5D85149E"/>
    <w:rsid w:val="5D872827"/>
    <w:rsid w:val="5D9303C3"/>
    <w:rsid w:val="5D973B04"/>
    <w:rsid w:val="5D98421F"/>
    <w:rsid w:val="5D9F6819"/>
    <w:rsid w:val="5DAB75B7"/>
    <w:rsid w:val="5DAE0604"/>
    <w:rsid w:val="5DB252F0"/>
    <w:rsid w:val="5DB87B0C"/>
    <w:rsid w:val="5DBA7BAC"/>
    <w:rsid w:val="5DBC3126"/>
    <w:rsid w:val="5DC654C8"/>
    <w:rsid w:val="5DC91145"/>
    <w:rsid w:val="5DC961E3"/>
    <w:rsid w:val="5DCA3C20"/>
    <w:rsid w:val="5DD04AA9"/>
    <w:rsid w:val="5DD05F8D"/>
    <w:rsid w:val="5DD64142"/>
    <w:rsid w:val="5DDA0AAB"/>
    <w:rsid w:val="5DDF0CC7"/>
    <w:rsid w:val="5DE2003B"/>
    <w:rsid w:val="5DE208AE"/>
    <w:rsid w:val="5DE94589"/>
    <w:rsid w:val="5DE97D60"/>
    <w:rsid w:val="5DEE34DE"/>
    <w:rsid w:val="5DEF59E4"/>
    <w:rsid w:val="5DF128EA"/>
    <w:rsid w:val="5DF2097E"/>
    <w:rsid w:val="5DF51901"/>
    <w:rsid w:val="5DF65E2B"/>
    <w:rsid w:val="5DFD3FF0"/>
    <w:rsid w:val="5DFE1D15"/>
    <w:rsid w:val="5DFF3DA5"/>
    <w:rsid w:val="5DFF40DC"/>
    <w:rsid w:val="5E0247F5"/>
    <w:rsid w:val="5E0D4B10"/>
    <w:rsid w:val="5E0D6FA8"/>
    <w:rsid w:val="5E190598"/>
    <w:rsid w:val="5E1D1FF6"/>
    <w:rsid w:val="5E1E3695"/>
    <w:rsid w:val="5E210D08"/>
    <w:rsid w:val="5E28161D"/>
    <w:rsid w:val="5E29185A"/>
    <w:rsid w:val="5E3018F1"/>
    <w:rsid w:val="5E336EDB"/>
    <w:rsid w:val="5E34077D"/>
    <w:rsid w:val="5E366DE2"/>
    <w:rsid w:val="5E367CC3"/>
    <w:rsid w:val="5E3C5A70"/>
    <w:rsid w:val="5E3D0B85"/>
    <w:rsid w:val="5E407699"/>
    <w:rsid w:val="5E413317"/>
    <w:rsid w:val="5E41738C"/>
    <w:rsid w:val="5E434E23"/>
    <w:rsid w:val="5E4778D8"/>
    <w:rsid w:val="5E4A2198"/>
    <w:rsid w:val="5E4D7168"/>
    <w:rsid w:val="5E4E160B"/>
    <w:rsid w:val="5E515BF5"/>
    <w:rsid w:val="5E583540"/>
    <w:rsid w:val="5E5E2338"/>
    <w:rsid w:val="5E5F718D"/>
    <w:rsid w:val="5E6146EE"/>
    <w:rsid w:val="5E6201BD"/>
    <w:rsid w:val="5E640778"/>
    <w:rsid w:val="5E6E0E96"/>
    <w:rsid w:val="5E7151C8"/>
    <w:rsid w:val="5E771070"/>
    <w:rsid w:val="5E7A04B5"/>
    <w:rsid w:val="5E7A347B"/>
    <w:rsid w:val="5E7D2319"/>
    <w:rsid w:val="5E840A97"/>
    <w:rsid w:val="5E8C6775"/>
    <w:rsid w:val="5E8E0218"/>
    <w:rsid w:val="5E9035FD"/>
    <w:rsid w:val="5E9247D2"/>
    <w:rsid w:val="5E930DE7"/>
    <w:rsid w:val="5E94181A"/>
    <w:rsid w:val="5E954BD0"/>
    <w:rsid w:val="5E970340"/>
    <w:rsid w:val="5E9A467C"/>
    <w:rsid w:val="5E9A56F7"/>
    <w:rsid w:val="5E9F2BCF"/>
    <w:rsid w:val="5EAF4F29"/>
    <w:rsid w:val="5EB23D82"/>
    <w:rsid w:val="5EB342E1"/>
    <w:rsid w:val="5EBA1134"/>
    <w:rsid w:val="5EBF68F8"/>
    <w:rsid w:val="5EC17B0D"/>
    <w:rsid w:val="5EC611C0"/>
    <w:rsid w:val="5ECE62E4"/>
    <w:rsid w:val="5ED33209"/>
    <w:rsid w:val="5ED34337"/>
    <w:rsid w:val="5ED42061"/>
    <w:rsid w:val="5EDF47B2"/>
    <w:rsid w:val="5EE20F91"/>
    <w:rsid w:val="5EE345A1"/>
    <w:rsid w:val="5EE43292"/>
    <w:rsid w:val="5EE529D2"/>
    <w:rsid w:val="5EE96E9B"/>
    <w:rsid w:val="5EEF571B"/>
    <w:rsid w:val="5EF15F81"/>
    <w:rsid w:val="5EF34CF2"/>
    <w:rsid w:val="5EF34FB4"/>
    <w:rsid w:val="5EF3536D"/>
    <w:rsid w:val="5EF602C3"/>
    <w:rsid w:val="5EFD2AC0"/>
    <w:rsid w:val="5EFD523D"/>
    <w:rsid w:val="5F054B02"/>
    <w:rsid w:val="5F0613A4"/>
    <w:rsid w:val="5F0E665E"/>
    <w:rsid w:val="5F161296"/>
    <w:rsid w:val="5F167756"/>
    <w:rsid w:val="5F1A2A25"/>
    <w:rsid w:val="5F1A3A3E"/>
    <w:rsid w:val="5F1A7472"/>
    <w:rsid w:val="5F210AC6"/>
    <w:rsid w:val="5F2127CC"/>
    <w:rsid w:val="5F215274"/>
    <w:rsid w:val="5F2334DB"/>
    <w:rsid w:val="5F3121EB"/>
    <w:rsid w:val="5F391DA6"/>
    <w:rsid w:val="5F3B1090"/>
    <w:rsid w:val="5F483909"/>
    <w:rsid w:val="5F504822"/>
    <w:rsid w:val="5F504A90"/>
    <w:rsid w:val="5F544789"/>
    <w:rsid w:val="5F5F4356"/>
    <w:rsid w:val="5F5F50DE"/>
    <w:rsid w:val="5F677A4F"/>
    <w:rsid w:val="5F6A1564"/>
    <w:rsid w:val="5F6F3DE7"/>
    <w:rsid w:val="5F7040CA"/>
    <w:rsid w:val="5F7A0470"/>
    <w:rsid w:val="5F7C4E1D"/>
    <w:rsid w:val="5F7E50B8"/>
    <w:rsid w:val="5F8255CA"/>
    <w:rsid w:val="5F833151"/>
    <w:rsid w:val="5F8446B2"/>
    <w:rsid w:val="5F8C2FC6"/>
    <w:rsid w:val="5F8E1329"/>
    <w:rsid w:val="5F912D8B"/>
    <w:rsid w:val="5F937CDC"/>
    <w:rsid w:val="5F960F5A"/>
    <w:rsid w:val="5F9624DF"/>
    <w:rsid w:val="5F97538D"/>
    <w:rsid w:val="5FA0760B"/>
    <w:rsid w:val="5FAC012D"/>
    <w:rsid w:val="5FAD1117"/>
    <w:rsid w:val="5FB44C98"/>
    <w:rsid w:val="5FB55008"/>
    <w:rsid w:val="5FB65BBC"/>
    <w:rsid w:val="5FB907D6"/>
    <w:rsid w:val="5FC47359"/>
    <w:rsid w:val="5FC51238"/>
    <w:rsid w:val="5FC7489C"/>
    <w:rsid w:val="5FD764FE"/>
    <w:rsid w:val="5FE40536"/>
    <w:rsid w:val="5FE67AF2"/>
    <w:rsid w:val="5FE93E04"/>
    <w:rsid w:val="5FEA2847"/>
    <w:rsid w:val="5FEC023F"/>
    <w:rsid w:val="5FEE086F"/>
    <w:rsid w:val="5FEF34A5"/>
    <w:rsid w:val="5FFB22BA"/>
    <w:rsid w:val="60003CFA"/>
    <w:rsid w:val="60026D26"/>
    <w:rsid w:val="6003216B"/>
    <w:rsid w:val="6004781E"/>
    <w:rsid w:val="60177748"/>
    <w:rsid w:val="601B4111"/>
    <w:rsid w:val="601E4AE1"/>
    <w:rsid w:val="602524D6"/>
    <w:rsid w:val="602870C3"/>
    <w:rsid w:val="602D4B26"/>
    <w:rsid w:val="60302645"/>
    <w:rsid w:val="60314CC8"/>
    <w:rsid w:val="603E3568"/>
    <w:rsid w:val="604A3B32"/>
    <w:rsid w:val="605531FC"/>
    <w:rsid w:val="6059196B"/>
    <w:rsid w:val="605F0E10"/>
    <w:rsid w:val="606762C2"/>
    <w:rsid w:val="60703F4B"/>
    <w:rsid w:val="60707D3F"/>
    <w:rsid w:val="607203D1"/>
    <w:rsid w:val="607A2E72"/>
    <w:rsid w:val="607D307D"/>
    <w:rsid w:val="608442F6"/>
    <w:rsid w:val="6084447B"/>
    <w:rsid w:val="60857DD4"/>
    <w:rsid w:val="608624B4"/>
    <w:rsid w:val="60891BA4"/>
    <w:rsid w:val="609405E0"/>
    <w:rsid w:val="6098030E"/>
    <w:rsid w:val="609D7ADB"/>
    <w:rsid w:val="60A56AB5"/>
    <w:rsid w:val="60AA59E8"/>
    <w:rsid w:val="60AC63D1"/>
    <w:rsid w:val="60B1436A"/>
    <w:rsid w:val="60B8703C"/>
    <w:rsid w:val="60BB0EBE"/>
    <w:rsid w:val="60C02DDC"/>
    <w:rsid w:val="60C43BAA"/>
    <w:rsid w:val="60C9529F"/>
    <w:rsid w:val="60CC087E"/>
    <w:rsid w:val="60CE1A3B"/>
    <w:rsid w:val="60CF4D72"/>
    <w:rsid w:val="60D203C7"/>
    <w:rsid w:val="60D601D9"/>
    <w:rsid w:val="60DD7182"/>
    <w:rsid w:val="60DF71BB"/>
    <w:rsid w:val="60E12851"/>
    <w:rsid w:val="60E41D50"/>
    <w:rsid w:val="60E4219C"/>
    <w:rsid w:val="60EB262D"/>
    <w:rsid w:val="60EC1848"/>
    <w:rsid w:val="60EC7FD8"/>
    <w:rsid w:val="60EE0FB3"/>
    <w:rsid w:val="60EE19EA"/>
    <w:rsid w:val="60F657B3"/>
    <w:rsid w:val="60F83FC1"/>
    <w:rsid w:val="60FB097B"/>
    <w:rsid w:val="610558B6"/>
    <w:rsid w:val="61094E1C"/>
    <w:rsid w:val="610B72AE"/>
    <w:rsid w:val="61113C29"/>
    <w:rsid w:val="611853FE"/>
    <w:rsid w:val="611929F9"/>
    <w:rsid w:val="611951E1"/>
    <w:rsid w:val="611A3B1F"/>
    <w:rsid w:val="611A43FB"/>
    <w:rsid w:val="611B7866"/>
    <w:rsid w:val="611C7A2D"/>
    <w:rsid w:val="611D778A"/>
    <w:rsid w:val="612145C3"/>
    <w:rsid w:val="612A2025"/>
    <w:rsid w:val="61315930"/>
    <w:rsid w:val="61336F3B"/>
    <w:rsid w:val="61376C1A"/>
    <w:rsid w:val="61386B8A"/>
    <w:rsid w:val="613A69EE"/>
    <w:rsid w:val="613C1846"/>
    <w:rsid w:val="613F5A23"/>
    <w:rsid w:val="614E2817"/>
    <w:rsid w:val="6153415C"/>
    <w:rsid w:val="61553E49"/>
    <w:rsid w:val="61591868"/>
    <w:rsid w:val="61621DF2"/>
    <w:rsid w:val="61631C6B"/>
    <w:rsid w:val="61694EBD"/>
    <w:rsid w:val="616F2C34"/>
    <w:rsid w:val="61716FDB"/>
    <w:rsid w:val="61725141"/>
    <w:rsid w:val="61730C8F"/>
    <w:rsid w:val="617969F6"/>
    <w:rsid w:val="617A6FC9"/>
    <w:rsid w:val="617A743F"/>
    <w:rsid w:val="617D1B97"/>
    <w:rsid w:val="617D4080"/>
    <w:rsid w:val="617D464C"/>
    <w:rsid w:val="617D65DE"/>
    <w:rsid w:val="61855E0E"/>
    <w:rsid w:val="618E3C6D"/>
    <w:rsid w:val="61965AF2"/>
    <w:rsid w:val="619A3156"/>
    <w:rsid w:val="619C7EEE"/>
    <w:rsid w:val="61A0748B"/>
    <w:rsid w:val="61A74C34"/>
    <w:rsid w:val="61A849EA"/>
    <w:rsid w:val="61AC3581"/>
    <w:rsid w:val="61AE2415"/>
    <w:rsid w:val="61B2131E"/>
    <w:rsid w:val="61B5262F"/>
    <w:rsid w:val="61B737A5"/>
    <w:rsid w:val="61B91318"/>
    <w:rsid w:val="61BB534E"/>
    <w:rsid w:val="61C074F0"/>
    <w:rsid w:val="61C805CC"/>
    <w:rsid w:val="61CB1B32"/>
    <w:rsid w:val="61D3660A"/>
    <w:rsid w:val="61D84107"/>
    <w:rsid w:val="61DE06E5"/>
    <w:rsid w:val="61E06B2D"/>
    <w:rsid w:val="61EA6060"/>
    <w:rsid w:val="61EC2A7B"/>
    <w:rsid w:val="61F0406C"/>
    <w:rsid w:val="61F96B41"/>
    <w:rsid w:val="61FD3AAC"/>
    <w:rsid w:val="61FF282F"/>
    <w:rsid w:val="62017684"/>
    <w:rsid w:val="62047A27"/>
    <w:rsid w:val="620963EC"/>
    <w:rsid w:val="620E40A3"/>
    <w:rsid w:val="62152ADC"/>
    <w:rsid w:val="62154F07"/>
    <w:rsid w:val="62155C1E"/>
    <w:rsid w:val="6220561C"/>
    <w:rsid w:val="622555C9"/>
    <w:rsid w:val="622A186C"/>
    <w:rsid w:val="622B4352"/>
    <w:rsid w:val="622B4652"/>
    <w:rsid w:val="622C4A30"/>
    <w:rsid w:val="622E3DB8"/>
    <w:rsid w:val="622F0F5F"/>
    <w:rsid w:val="62301756"/>
    <w:rsid w:val="62324EF9"/>
    <w:rsid w:val="62350820"/>
    <w:rsid w:val="62363797"/>
    <w:rsid w:val="62382ECE"/>
    <w:rsid w:val="62395356"/>
    <w:rsid w:val="623A62CA"/>
    <w:rsid w:val="623B37A7"/>
    <w:rsid w:val="623E07C9"/>
    <w:rsid w:val="62435A39"/>
    <w:rsid w:val="62477981"/>
    <w:rsid w:val="6248758A"/>
    <w:rsid w:val="624C6329"/>
    <w:rsid w:val="624E228A"/>
    <w:rsid w:val="62524628"/>
    <w:rsid w:val="625561E4"/>
    <w:rsid w:val="625951FA"/>
    <w:rsid w:val="62630D39"/>
    <w:rsid w:val="62643314"/>
    <w:rsid w:val="62677DF5"/>
    <w:rsid w:val="6268514E"/>
    <w:rsid w:val="626A7448"/>
    <w:rsid w:val="626A7736"/>
    <w:rsid w:val="62746F2A"/>
    <w:rsid w:val="6277209F"/>
    <w:rsid w:val="627864FD"/>
    <w:rsid w:val="627D3D84"/>
    <w:rsid w:val="62946BA3"/>
    <w:rsid w:val="62952EDA"/>
    <w:rsid w:val="62957807"/>
    <w:rsid w:val="6296629C"/>
    <w:rsid w:val="62980D48"/>
    <w:rsid w:val="62A83510"/>
    <w:rsid w:val="62A96FE4"/>
    <w:rsid w:val="62AA5617"/>
    <w:rsid w:val="62B20AF7"/>
    <w:rsid w:val="62B34265"/>
    <w:rsid w:val="62B90F2C"/>
    <w:rsid w:val="62BC3F7B"/>
    <w:rsid w:val="62BD0CFC"/>
    <w:rsid w:val="62C3541A"/>
    <w:rsid w:val="62C577A8"/>
    <w:rsid w:val="62C653F7"/>
    <w:rsid w:val="62CB5201"/>
    <w:rsid w:val="62DA63A2"/>
    <w:rsid w:val="62DD2494"/>
    <w:rsid w:val="62EC11DB"/>
    <w:rsid w:val="62ED4680"/>
    <w:rsid w:val="62F2687E"/>
    <w:rsid w:val="62F50BA4"/>
    <w:rsid w:val="62F75A28"/>
    <w:rsid w:val="62F76527"/>
    <w:rsid w:val="62FC3441"/>
    <w:rsid w:val="63002B02"/>
    <w:rsid w:val="630922D1"/>
    <w:rsid w:val="630958E3"/>
    <w:rsid w:val="630B629E"/>
    <w:rsid w:val="6313273B"/>
    <w:rsid w:val="63170A5B"/>
    <w:rsid w:val="631A412B"/>
    <w:rsid w:val="63210A9C"/>
    <w:rsid w:val="632154D0"/>
    <w:rsid w:val="63245DD8"/>
    <w:rsid w:val="6328514F"/>
    <w:rsid w:val="63351E9D"/>
    <w:rsid w:val="6338211F"/>
    <w:rsid w:val="633D5206"/>
    <w:rsid w:val="634052AD"/>
    <w:rsid w:val="63413F90"/>
    <w:rsid w:val="634455AD"/>
    <w:rsid w:val="634D4782"/>
    <w:rsid w:val="635303B8"/>
    <w:rsid w:val="63552BC0"/>
    <w:rsid w:val="63553747"/>
    <w:rsid w:val="63565FD3"/>
    <w:rsid w:val="6360206B"/>
    <w:rsid w:val="63607D53"/>
    <w:rsid w:val="63660531"/>
    <w:rsid w:val="636A6D7E"/>
    <w:rsid w:val="636B02BB"/>
    <w:rsid w:val="636D47DA"/>
    <w:rsid w:val="63722E43"/>
    <w:rsid w:val="63730F2D"/>
    <w:rsid w:val="63740B1E"/>
    <w:rsid w:val="63755CC8"/>
    <w:rsid w:val="637834D8"/>
    <w:rsid w:val="637A57F9"/>
    <w:rsid w:val="637E19B0"/>
    <w:rsid w:val="637F0E47"/>
    <w:rsid w:val="638C77C9"/>
    <w:rsid w:val="638F7053"/>
    <w:rsid w:val="639B3809"/>
    <w:rsid w:val="63A7356A"/>
    <w:rsid w:val="63A90FE1"/>
    <w:rsid w:val="63AB5954"/>
    <w:rsid w:val="63AB5FA5"/>
    <w:rsid w:val="63AC3E34"/>
    <w:rsid w:val="63AE0ADD"/>
    <w:rsid w:val="63BA04C6"/>
    <w:rsid w:val="63BF7B02"/>
    <w:rsid w:val="63C16160"/>
    <w:rsid w:val="63C250C0"/>
    <w:rsid w:val="63C25B4A"/>
    <w:rsid w:val="63C556B6"/>
    <w:rsid w:val="63C740F2"/>
    <w:rsid w:val="63CC7A1F"/>
    <w:rsid w:val="63D45254"/>
    <w:rsid w:val="63D61BF6"/>
    <w:rsid w:val="63DA3AE6"/>
    <w:rsid w:val="63DD24B9"/>
    <w:rsid w:val="63E02A10"/>
    <w:rsid w:val="63E75651"/>
    <w:rsid w:val="63EB3263"/>
    <w:rsid w:val="63EF5BA7"/>
    <w:rsid w:val="63F439D8"/>
    <w:rsid w:val="64093158"/>
    <w:rsid w:val="64111D5F"/>
    <w:rsid w:val="641246C8"/>
    <w:rsid w:val="641E6B2B"/>
    <w:rsid w:val="642965F5"/>
    <w:rsid w:val="64303D86"/>
    <w:rsid w:val="64360F50"/>
    <w:rsid w:val="64386248"/>
    <w:rsid w:val="64386C91"/>
    <w:rsid w:val="64430B65"/>
    <w:rsid w:val="644F6BE5"/>
    <w:rsid w:val="64521485"/>
    <w:rsid w:val="64546761"/>
    <w:rsid w:val="64573FDD"/>
    <w:rsid w:val="645B768E"/>
    <w:rsid w:val="645B7D2C"/>
    <w:rsid w:val="645C3D0D"/>
    <w:rsid w:val="6467555B"/>
    <w:rsid w:val="646A4E43"/>
    <w:rsid w:val="646B703C"/>
    <w:rsid w:val="64736BBC"/>
    <w:rsid w:val="647660D8"/>
    <w:rsid w:val="647F359A"/>
    <w:rsid w:val="648B17D7"/>
    <w:rsid w:val="649023B2"/>
    <w:rsid w:val="64955557"/>
    <w:rsid w:val="649835B8"/>
    <w:rsid w:val="649C55B8"/>
    <w:rsid w:val="64A1639F"/>
    <w:rsid w:val="64A27B6F"/>
    <w:rsid w:val="64A426C0"/>
    <w:rsid w:val="64A46B22"/>
    <w:rsid w:val="64A9463D"/>
    <w:rsid w:val="64AE4CE7"/>
    <w:rsid w:val="64AF1661"/>
    <w:rsid w:val="64B36612"/>
    <w:rsid w:val="64BB48B6"/>
    <w:rsid w:val="64C11D44"/>
    <w:rsid w:val="64C76975"/>
    <w:rsid w:val="64CB5B44"/>
    <w:rsid w:val="64CE45ED"/>
    <w:rsid w:val="64CF3E87"/>
    <w:rsid w:val="64D1437A"/>
    <w:rsid w:val="64D65F61"/>
    <w:rsid w:val="64D67013"/>
    <w:rsid w:val="64D90911"/>
    <w:rsid w:val="64E16275"/>
    <w:rsid w:val="64E5490E"/>
    <w:rsid w:val="64E86D07"/>
    <w:rsid w:val="64ED2A43"/>
    <w:rsid w:val="64F109FA"/>
    <w:rsid w:val="650147BD"/>
    <w:rsid w:val="65055656"/>
    <w:rsid w:val="65065B00"/>
    <w:rsid w:val="65082C63"/>
    <w:rsid w:val="650F2036"/>
    <w:rsid w:val="65135A5B"/>
    <w:rsid w:val="65164778"/>
    <w:rsid w:val="651F439E"/>
    <w:rsid w:val="6526082C"/>
    <w:rsid w:val="652D0420"/>
    <w:rsid w:val="652E7A7D"/>
    <w:rsid w:val="65316C4A"/>
    <w:rsid w:val="65335705"/>
    <w:rsid w:val="6536664E"/>
    <w:rsid w:val="653960D7"/>
    <w:rsid w:val="653A2EC9"/>
    <w:rsid w:val="65401987"/>
    <w:rsid w:val="65426027"/>
    <w:rsid w:val="654956ED"/>
    <w:rsid w:val="65530998"/>
    <w:rsid w:val="6555786C"/>
    <w:rsid w:val="6556442C"/>
    <w:rsid w:val="655B60ED"/>
    <w:rsid w:val="655E6253"/>
    <w:rsid w:val="65623694"/>
    <w:rsid w:val="65654FA8"/>
    <w:rsid w:val="656B1F8C"/>
    <w:rsid w:val="656F0017"/>
    <w:rsid w:val="65706CFB"/>
    <w:rsid w:val="6571116D"/>
    <w:rsid w:val="65716537"/>
    <w:rsid w:val="65727841"/>
    <w:rsid w:val="65732C29"/>
    <w:rsid w:val="65773C30"/>
    <w:rsid w:val="65792F18"/>
    <w:rsid w:val="657B77D2"/>
    <w:rsid w:val="657C203E"/>
    <w:rsid w:val="657D7204"/>
    <w:rsid w:val="657F2573"/>
    <w:rsid w:val="658162B3"/>
    <w:rsid w:val="65824605"/>
    <w:rsid w:val="65857DC5"/>
    <w:rsid w:val="65871163"/>
    <w:rsid w:val="658F279A"/>
    <w:rsid w:val="6590142A"/>
    <w:rsid w:val="659652B9"/>
    <w:rsid w:val="65997668"/>
    <w:rsid w:val="659A61CB"/>
    <w:rsid w:val="65A474F2"/>
    <w:rsid w:val="65A71891"/>
    <w:rsid w:val="65B808BE"/>
    <w:rsid w:val="65BC05B7"/>
    <w:rsid w:val="65BC71F6"/>
    <w:rsid w:val="65BD71AE"/>
    <w:rsid w:val="65C920EB"/>
    <w:rsid w:val="65C929E7"/>
    <w:rsid w:val="65CC757B"/>
    <w:rsid w:val="65CE272C"/>
    <w:rsid w:val="65DD245D"/>
    <w:rsid w:val="65E361D0"/>
    <w:rsid w:val="65E72D78"/>
    <w:rsid w:val="65E80E2F"/>
    <w:rsid w:val="65ED021D"/>
    <w:rsid w:val="65ED7CC6"/>
    <w:rsid w:val="65F05B32"/>
    <w:rsid w:val="65F3513F"/>
    <w:rsid w:val="65F63CC8"/>
    <w:rsid w:val="65F8181D"/>
    <w:rsid w:val="65FE58C9"/>
    <w:rsid w:val="660126AF"/>
    <w:rsid w:val="6609150C"/>
    <w:rsid w:val="660A13C0"/>
    <w:rsid w:val="660B10DA"/>
    <w:rsid w:val="660B4D1B"/>
    <w:rsid w:val="660B5191"/>
    <w:rsid w:val="661120AC"/>
    <w:rsid w:val="66135C74"/>
    <w:rsid w:val="66136D46"/>
    <w:rsid w:val="6615335A"/>
    <w:rsid w:val="661E75A6"/>
    <w:rsid w:val="6629370A"/>
    <w:rsid w:val="662B10EB"/>
    <w:rsid w:val="66330CD4"/>
    <w:rsid w:val="66333640"/>
    <w:rsid w:val="66337137"/>
    <w:rsid w:val="663453BE"/>
    <w:rsid w:val="663A1ED0"/>
    <w:rsid w:val="66495432"/>
    <w:rsid w:val="665107CD"/>
    <w:rsid w:val="6651569C"/>
    <w:rsid w:val="66524D7C"/>
    <w:rsid w:val="66553513"/>
    <w:rsid w:val="66561556"/>
    <w:rsid w:val="6656574C"/>
    <w:rsid w:val="665705E0"/>
    <w:rsid w:val="665742AD"/>
    <w:rsid w:val="665C6CA9"/>
    <w:rsid w:val="66625836"/>
    <w:rsid w:val="66640C54"/>
    <w:rsid w:val="666457A1"/>
    <w:rsid w:val="66657656"/>
    <w:rsid w:val="66725B1C"/>
    <w:rsid w:val="667322B0"/>
    <w:rsid w:val="6677437D"/>
    <w:rsid w:val="667E5EAC"/>
    <w:rsid w:val="66823D25"/>
    <w:rsid w:val="6683525B"/>
    <w:rsid w:val="669119C1"/>
    <w:rsid w:val="669175F0"/>
    <w:rsid w:val="66981EA3"/>
    <w:rsid w:val="669C14B3"/>
    <w:rsid w:val="66A753FF"/>
    <w:rsid w:val="66B13B8B"/>
    <w:rsid w:val="66B525D2"/>
    <w:rsid w:val="66B97C3F"/>
    <w:rsid w:val="66BB3011"/>
    <w:rsid w:val="66BB384B"/>
    <w:rsid w:val="66BC225D"/>
    <w:rsid w:val="66BC277C"/>
    <w:rsid w:val="66BE0F79"/>
    <w:rsid w:val="66C03EBD"/>
    <w:rsid w:val="66CB53DB"/>
    <w:rsid w:val="66CD0248"/>
    <w:rsid w:val="66D167D8"/>
    <w:rsid w:val="66DA4B68"/>
    <w:rsid w:val="66DC55F9"/>
    <w:rsid w:val="66E3517F"/>
    <w:rsid w:val="66F24688"/>
    <w:rsid w:val="66F32AFD"/>
    <w:rsid w:val="66F65898"/>
    <w:rsid w:val="66FA3A37"/>
    <w:rsid w:val="66FC3278"/>
    <w:rsid w:val="66FF05A1"/>
    <w:rsid w:val="670656F3"/>
    <w:rsid w:val="6707065C"/>
    <w:rsid w:val="670A5B56"/>
    <w:rsid w:val="670A5FBE"/>
    <w:rsid w:val="670D4812"/>
    <w:rsid w:val="67145A1A"/>
    <w:rsid w:val="671B3CE6"/>
    <w:rsid w:val="67203243"/>
    <w:rsid w:val="67263BF9"/>
    <w:rsid w:val="67283CF2"/>
    <w:rsid w:val="672873E6"/>
    <w:rsid w:val="672A4AA2"/>
    <w:rsid w:val="673C6DC8"/>
    <w:rsid w:val="673D0CF3"/>
    <w:rsid w:val="673D1727"/>
    <w:rsid w:val="67486EEB"/>
    <w:rsid w:val="674A2DDB"/>
    <w:rsid w:val="674D7BE9"/>
    <w:rsid w:val="67500547"/>
    <w:rsid w:val="67536CE2"/>
    <w:rsid w:val="67590CDA"/>
    <w:rsid w:val="676B3ADE"/>
    <w:rsid w:val="676C00DE"/>
    <w:rsid w:val="676D1E0F"/>
    <w:rsid w:val="676E6DC6"/>
    <w:rsid w:val="6772435F"/>
    <w:rsid w:val="67734BC3"/>
    <w:rsid w:val="67740DBE"/>
    <w:rsid w:val="67754E68"/>
    <w:rsid w:val="677E2AC6"/>
    <w:rsid w:val="67855207"/>
    <w:rsid w:val="67883328"/>
    <w:rsid w:val="678A2B0F"/>
    <w:rsid w:val="6792554B"/>
    <w:rsid w:val="679700AC"/>
    <w:rsid w:val="679A4883"/>
    <w:rsid w:val="67A03290"/>
    <w:rsid w:val="67A2720E"/>
    <w:rsid w:val="67A33370"/>
    <w:rsid w:val="67A37B82"/>
    <w:rsid w:val="67AA258A"/>
    <w:rsid w:val="67AB35AA"/>
    <w:rsid w:val="67AC1948"/>
    <w:rsid w:val="67AF7EC3"/>
    <w:rsid w:val="67B001F7"/>
    <w:rsid w:val="67B35ACD"/>
    <w:rsid w:val="67B7613E"/>
    <w:rsid w:val="67BA091F"/>
    <w:rsid w:val="67BD4CEC"/>
    <w:rsid w:val="67BF6AFF"/>
    <w:rsid w:val="67CE6340"/>
    <w:rsid w:val="67D01C35"/>
    <w:rsid w:val="67D32180"/>
    <w:rsid w:val="67D62E03"/>
    <w:rsid w:val="67E00E12"/>
    <w:rsid w:val="67E83E31"/>
    <w:rsid w:val="67FA509A"/>
    <w:rsid w:val="6801483F"/>
    <w:rsid w:val="6804587C"/>
    <w:rsid w:val="68052779"/>
    <w:rsid w:val="680C0C0E"/>
    <w:rsid w:val="681757C7"/>
    <w:rsid w:val="68234B62"/>
    <w:rsid w:val="68266801"/>
    <w:rsid w:val="682728B1"/>
    <w:rsid w:val="68282FBB"/>
    <w:rsid w:val="68293197"/>
    <w:rsid w:val="682A1A0F"/>
    <w:rsid w:val="682D3CAC"/>
    <w:rsid w:val="682D79D4"/>
    <w:rsid w:val="68365B63"/>
    <w:rsid w:val="683A4759"/>
    <w:rsid w:val="683C3CE9"/>
    <w:rsid w:val="683F3F23"/>
    <w:rsid w:val="68412C05"/>
    <w:rsid w:val="68483090"/>
    <w:rsid w:val="6848726A"/>
    <w:rsid w:val="684A0C9B"/>
    <w:rsid w:val="684A241F"/>
    <w:rsid w:val="684E1AE8"/>
    <w:rsid w:val="68595F9B"/>
    <w:rsid w:val="686379C6"/>
    <w:rsid w:val="68645AAE"/>
    <w:rsid w:val="686B43CA"/>
    <w:rsid w:val="686B6518"/>
    <w:rsid w:val="68703E1E"/>
    <w:rsid w:val="687420AD"/>
    <w:rsid w:val="68781337"/>
    <w:rsid w:val="68826CB0"/>
    <w:rsid w:val="68891E99"/>
    <w:rsid w:val="688F1BF8"/>
    <w:rsid w:val="68927DAD"/>
    <w:rsid w:val="68935687"/>
    <w:rsid w:val="689E1FA4"/>
    <w:rsid w:val="689F7EB2"/>
    <w:rsid w:val="68A5715A"/>
    <w:rsid w:val="68A601A4"/>
    <w:rsid w:val="68A76977"/>
    <w:rsid w:val="68AB2694"/>
    <w:rsid w:val="68AF77CD"/>
    <w:rsid w:val="68B0195F"/>
    <w:rsid w:val="68B741A9"/>
    <w:rsid w:val="68BE44DE"/>
    <w:rsid w:val="68C3123E"/>
    <w:rsid w:val="68C3472A"/>
    <w:rsid w:val="68C37FB8"/>
    <w:rsid w:val="68CB0103"/>
    <w:rsid w:val="68CC00B4"/>
    <w:rsid w:val="68CC09BF"/>
    <w:rsid w:val="68CE183A"/>
    <w:rsid w:val="68D151A6"/>
    <w:rsid w:val="68D67F56"/>
    <w:rsid w:val="68D73A8F"/>
    <w:rsid w:val="68DC3A67"/>
    <w:rsid w:val="68E55C60"/>
    <w:rsid w:val="68F127F3"/>
    <w:rsid w:val="68FF79FC"/>
    <w:rsid w:val="69076ECB"/>
    <w:rsid w:val="69094309"/>
    <w:rsid w:val="690B1C41"/>
    <w:rsid w:val="690C60B5"/>
    <w:rsid w:val="69160EFD"/>
    <w:rsid w:val="691F54E1"/>
    <w:rsid w:val="6922509B"/>
    <w:rsid w:val="6924473E"/>
    <w:rsid w:val="692920E4"/>
    <w:rsid w:val="692C1069"/>
    <w:rsid w:val="692D4E61"/>
    <w:rsid w:val="69323C2E"/>
    <w:rsid w:val="69343765"/>
    <w:rsid w:val="69384B65"/>
    <w:rsid w:val="693A3CDA"/>
    <w:rsid w:val="693B4DE3"/>
    <w:rsid w:val="693E5340"/>
    <w:rsid w:val="69436D58"/>
    <w:rsid w:val="69487C36"/>
    <w:rsid w:val="694A7031"/>
    <w:rsid w:val="694E3314"/>
    <w:rsid w:val="69520B6B"/>
    <w:rsid w:val="69590BC0"/>
    <w:rsid w:val="695B2DF5"/>
    <w:rsid w:val="695F0D3D"/>
    <w:rsid w:val="69630A03"/>
    <w:rsid w:val="69657926"/>
    <w:rsid w:val="696671E0"/>
    <w:rsid w:val="696952AD"/>
    <w:rsid w:val="69727077"/>
    <w:rsid w:val="69741174"/>
    <w:rsid w:val="6977705D"/>
    <w:rsid w:val="69793999"/>
    <w:rsid w:val="697C13A0"/>
    <w:rsid w:val="697D6E73"/>
    <w:rsid w:val="697F33DE"/>
    <w:rsid w:val="69833732"/>
    <w:rsid w:val="698343FC"/>
    <w:rsid w:val="69860AF8"/>
    <w:rsid w:val="69860D43"/>
    <w:rsid w:val="69861E53"/>
    <w:rsid w:val="69884A40"/>
    <w:rsid w:val="69897785"/>
    <w:rsid w:val="698C4472"/>
    <w:rsid w:val="698E7D76"/>
    <w:rsid w:val="69903EAA"/>
    <w:rsid w:val="69944AF8"/>
    <w:rsid w:val="69955C72"/>
    <w:rsid w:val="699C1AE1"/>
    <w:rsid w:val="69A27932"/>
    <w:rsid w:val="69A459C3"/>
    <w:rsid w:val="69A6312E"/>
    <w:rsid w:val="69AA5852"/>
    <w:rsid w:val="69B32B67"/>
    <w:rsid w:val="69B57505"/>
    <w:rsid w:val="69B635CE"/>
    <w:rsid w:val="69B65207"/>
    <w:rsid w:val="69BC7132"/>
    <w:rsid w:val="69C16F31"/>
    <w:rsid w:val="69C746AB"/>
    <w:rsid w:val="69C948FC"/>
    <w:rsid w:val="69CA3F91"/>
    <w:rsid w:val="69CE1802"/>
    <w:rsid w:val="69D41DEF"/>
    <w:rsid w:val="69DC14BD"/>
    <w:rsid w:val="69DC7C82"/>
    <w:rsid w:val="69DF3250"/>
    <w:rsid w:val="69E07061"/>
    <w:rsid w:val="69E21ED2"/>
    <w:rsid w:val="69E65E2A"/>
    <w:rsid w:val="69E72904"/>
    <w:rsid w:val="69E94FC8"/>
    <w:rsid w:val="69EC2B9C"/>
    <w:rsid w:val="69EC316D"/>
    <w:rsid w:val="69F16EF8"/>
    <w:rsid w:val="69F24DCF"/>
    <w:rsid w:val="69F62533"/>
    <w:rsid w:val="69F91E6F"/>
    <w:rsid w:val="69FF2AA5"/>
    <w:rsid w:val="6A0502C1"/>
    <w:rsid w:val="6A050609"/>
    <w:rsid w:val="6A064692"/>
    <w:rsid w:val="6A076190"/>
    <w:rsid w:val="6A087541"/>
    <w:rsid w:val="6A094487"/>
    <w:rsid w:val="6A0D290D"/>
    <w:rsid w:val="6A0F79FF"/>
    <w:rsid w:val="6A133297"/>
    <w:rsid w:val="6A1775C4"/>
    <w:rsid w:val="6A1A653A"/>
    <w:rsid w:val="6A1D2B21"/>
    <w:rsid w:val="6A2033BA"/>
    <w:rsid w:val="6A224CC6"/>
    <w:rsid w:val="6A23222C"/>
    <w:rsid w:val="6A2743C9"/>
    <w:rsid w:val="6A291377"/>
    <w:rsid w:val="6A2A2485"/>
    <w:rsid w:val="6A2A5B24"/>
    <w:rsid w:val="6A2B1BE9"/>
    <w:rsid w:val="6A2F615F"/>
    <w:rsid w:val="6A394950"/>
    <w:rsid w:val="6A3B2A26"/>
    <w:rsid w:val="6A405B02"/>
    <w:rsid w:val="6A412293"/>
    <w:rsid w:val="6A4157F2"/>
    <w:rsid w:val="6A4228BD"/>
    <w:rsid w:val="6A49746C"/>
    <w:rsid w:val="6A4B3FD1"/>
    <w:rsid w:val="6A4C2349"/>
    <w:rsid w:val="6A515B58"/>
    <w:rsid w:val="6A520ADF"/>
    <w:rsid w:val="6A527E60"/>
    <w:rsid w:val="6A5409B6"/>
    <w:rsid w:val="6A54777E"/>
    <w:rsid w:val="6A587166"/>
    <w:rsid w:val="6A5F67E1"/>
    <w:rsid w:val="6A616F9E"/>
    <w:rsid w:val="6A6552DB"/>
    <w:rsid w:val="6A6A71CF"/>
    <w:rsid w:val="6A6E23A2"/>
    <w:rsid w:val="6A701B60"/>
    <w:rsid w:val="6A704A88"/>
    <w:rsid w:val="6A70637F"/>
    <w:rsid w:val="6A7732DF"/>
    <w:rsid w:val="6A7A63CF"/>
    <w:rsid w:val="6A7B43C5"/>
    <w:rsid w:val="6A7F7721"/>
    <w:rsid w:val="6A813304"/>
    <w:rsid w:val="6A8334EE"/>
    <w:rsid w:val="6A89606D"/>
    <w:rsid w:val="6A972237"/>
    <w:rsid w:val="6A9E5A61"/>
    <w:rsid w:val="6AA07E86"/>
    <w:rsid w:val="6AA17ECF"/>
    <w:rsid w:val="6AA945BE"/>
    <w:rsid w:val="6AB32AD1"/>
    <w:rsid w:val="6AB91CBD"/>
    <w:rsid w:val="6ABC69D5"/>
    <w:rsid w:val="6ABF549C"/>
    <w:rsid w:val="6AD866CF"/>
    <w:rsid w:val="6AE46A22"/>
    <w:rsid w:val="6AEA1899"/>
    <w:rsid w:val="6AEC6010"/>
    <w:rsid w:val="6AEE4156"/>
    <w:rsid w:val="6AF43769"/>
    <w:rsid w:val="6AF81829"/>
    <w:rsid w:val="6AFA521D"/>
    <w:rsid w:val="6AFE15ED"/>
    <w:rsid w:val="6B000735"/>
    <w:rsid w:val="6B016FEC"/>
    <w:rsid w:val="6B065A8F"/>
    <w:rsid w:val="6B07503E"/>
    <w:rsid w:val="6B090B35"/>
    <w:rsid w:val="6B097AD2"/>
    <w:rsid w:val="6B0A1294"/>
    <w:rsid w:val="6B0A6323"/>
    <w:rsid w:val="6B0C3832"/>
    <w:rsid w:val="6B0E2B5F"/>
    <w:rsid w:val="6B104DC9"/>
    <w:rsid w:val="6B124E43"/>
    <w:rsid w:val="6B163E09"/>
    <w:rsid w:val="6B17224E"/>
    <w:rsid w:val="6B176BEB"/>
    <w:rsid w:val="6B1C2642"/>
    <w:rsid w:val="6B1C52E7"/>
    <w:rsid w:val="6B1E03C7"/>
    <w:rsid w:val="6B2103C6"/>
    <w:rsid w:val="6B234D0E"/>
    <w:rsid w:val="6B2411D9"/>
    <w:rsid w:val="6B284352"/>
    <w:rsid w:val="6B2A4C4A"/>
    <w:rsid w:val="6B2D3F44"/>
    <w:rsid w:val="6B2D6641"/>
    <w:rsid w:val="6B2F266C"/>
    <w:rsid w:val="6B312F1A"/>
    <w:rsid w:val="6B335C92"/>
    <w:rsid w:val="6B372107"/>
    <w:rsid w:val="6B3C4A77"/>
    <w:rsid w:val="6B482422"/>
    <w:rsid w:val="6B4B75D2"/>
    <w:rsid w:val="6B4F3F35"/>
    <w:rsid w:val="6B51569E"/>
    <w:rsid w:val="6B5F08B4"/>
    <w:rsid w:val="6B6644CA"/>
    <w:rsid w:val="6B695867"/>
    <w:rsid w:val="6B6E6516"/>
    <w:rsid w:val="6B71061A"/>
    <w:rsid w:val="6B7132FE"/>
    <w:rsid w:val="6B753D4F"/>
    <w:rsid w:val="6B797D34"/>
    <w:rsid w:val="6B7A4729"/>
    <w:rsid w:val="6B7A52A6"/>
    <w:rsid w:val="6B843F0A"/>
    <w:rsid w:val="6B867BCC"/>
    <w:rsid w:val="6B876448"/>
    <w:rsid w:val="6B8C18F9"/>
    <w:rsid w:val="6B8E643C"/>
    <w:rsid w:val="6B960B83"/>
    <w:rsid w:val="6B97474E"/>
    <w:rsid w:val="6B991EE9"/>
    <w:rsid w:val="6BA12650"/>
    <w:rsid w:val="6BA57A9F"/>
    <w:rsid w:val="6BA903AD"/>
    <w:rsid w:val="6BAA0830"/>
    <w:rsid w:val="6BB61C00"/>
    <w:rsid w:val="6BB75D26"/>
    <w:rsid w:val="6BBF436D"/>
    <w:rsid w:val="6BCA3AC4"/>
    <w:rsid w:val="6BCA7563"/>
    <w:rsid w:val="6BD36E03"/>
    <w:rsid w:val="6BD405F1"/>
    <w:rsid w:val="6BDD420F"/>
    <w:rsid w:val="6BDD65C1"/>
    <w:rsid w:val="6BE07290"/>
    <w:rsid w:val="6BE82310"/>
    <w:rsid w:val="6BE911BF"/>
    <w:rsid w:val="6BEB23D4"/>
    <w:rsid w:val="6BF81F5B"/>
    <w:rsid w:val="6C00591E"/>
    <w:rsid w:val="6C0131B3"/>
    <w:rsid w:val="6C033524"/>
    <w:rsid w:val="6C041DA1"/>
    <w:rsid w:val="6C04314F"/>
    <w:rsid w:val="6C08005F"/>
    <w:rsid w:val="6C093B88"/>
    <w:rsid w:val="6C0C3493"/>
    <w:rsid w:val="6C0D5AB5"/>
    <w:rsid w:val="6C0F3FDA"/>
    <w:rsid w:val="6C210A71"/>
    <w:rsid w:val="6C262D6F"/>
    <w:rsid w:val="6C2853C1"/>
    <w:rsid w:val="6C2B4A52"/>
    <w:rsid w:val="6C2C4084"/>
    <w:rsid w:val="6C2D5156"/>
    <w:rsid w:val="6C2F2D2B"/>
    <w:rsid w:val="6C355E6D"/>
    <w:rsid w:val="6C3A419E"/>
    <w:rsid w:val="6C404AE6"/>
    <w:rsid w:val="6C4249C0"/>
    <w:rsid w:val="6C461A8C"/>
    <w:rsid w:val="6C471DE8"/>
    <w:rsid w:val="6C477F48"/>
    <w:rsid w:val="6C4955A7"/>
    <w:rsid w:val="6C4B5178"/>
    <w:rsid w:val="6C4C3154"/>
    <w:rsid w:val="6C4F662E"/>
    <w:rsid w:val="6C546640"/>
    <w:rsid w:val="6C5B10D2"/>
    <w:rsid w:val="6C5C7FBD"/>
    <w:rsid w:val="6C5D7215"/>
    <w:rsid w:val="6C751806"/>
    <w:rsid w:val="6C7A17A4"/>
    <w:rsid w:val="6C7A19ED"/>
    <w:rsid w:val="6C825E6C"/>
    <w:rsid w:val="6C84002B"/>
    <w:rsid w:val="6C851B13"/>
    <w:rsid w:val="6C88521C"/>
    <w:rsid w:val="6C8B0F3D"/>
    <w:rsid w:val="6C93621A"/>
    <w:rsid w:val="6C9A13EC"/>
    <w:rsid w:val="6C9A65DD"/>
    <w:rsid w:val="6C9B4308"/>
    <w:rsid w:val="6C9C5ACB"/>
    <w:rsid w:val="6C9F0EAA"/>
    <w:rsid w:val="6CA235C3"/>
    <w:rsid w:val="6CA502DB"/>
    <w:rsid w:val="6CAC0CF5"/>
    <w:rsid w:val="6CAE5F5C"/>
    <w:rsid w:val="6CBA1F54"/>
    <w:rsid w:val="6CBC7D1D"/>
    <w:rsid w:val="6CBD413B"/>
    <w:rsid w:val="6CBE7883"/>
    <w:rsid w:val="6CBF6842"/>
    <w:rsid w:val="6CC11FAE"/>
    <w:rsid w:val="6CC27EEA"/>
    <w:rsid w:val="6CC356F3"/>
    <w:rsid w:val="6CC81389"/>
    <w:rsid w:val="6CCA0B8D"/>
    <w:rsid w:val="6CCB1DD6"/>
    <w:rsid w:val="6CCE07F8"/>
    <w:rsid w:val="6CD331A4"/>
    <w:rsid w:val="6CD34E01"/>
    <w:rsid w:val="6CD64764"/>
    <w:rsid w:val="6CD90C49"/>
    <w:rsid w:val="6CDA0131"/>
    <w:rsid w:val="6CDC19C2"/>
    <w:rsid w:val="6CDF1FEB"/>
    <w:rsid w:val="6CF65BFE"/>
    <w:rsid w:val="6CFB0099"/>
    <w:rsid w:val="6D05464A"/>
    <w:rsid w:val="6D065918"/>
    <w:rsid w:val="6D0C2227"/>
    <w:rsid w:val="6D0F5128"/>
    <w:rsid w:val="6D12181D"/>
    <w:rsid w:val="6D17781F"/>
    <w:rsid w:val="6D1D213E"/>
    <w:rsid w:val="6D225BAB"/>
    <w:rsid w:val="6D2375E3"/>
    <w:rsid w:val="6D2646BA"/>
    <w:rsid w:val="6D2D3156"/>
    <w:rsid w:val="6D2E49A6"/>
    <w:rsid w:val="6D325457"/>
    <w:rsid w:val="6D3969B4"/>
    <w:rsid w:val="6D3B458E"/>
    <w:rsid w:val="6D3D2CF5"/>
    <w:rsid w:val="6D3E7A46"/>
    <w:rsid w:val="6D4631F2"/>
    <w:rsid w:val="6D464717"/>
    <w:rsid w:val="6D4C112A"/>
    <w:rsid w:val="6D5065FC"/>
    <w:rsid w:val="6D506A6A"/>
    <w:rsid w:val="6D563111"/>
    <w:rsid w:val="6D565758"/>
    <w:rsid w:val="6D5A6E93"/>
    <w:rsid w:val="6D6236CB"/>
    <w:rsid w:val="6D654246"/>
    <w:rsid w:val="6D68259F"/>
    <w:rsid w:val="6D6869EC"/>
    <w:rsid w:val="6D7B10B5"/>
    <w:rsid w:val="6D7F76D0"/>
    <w:rsid w:val="6D8251A7"/>
    <w:rsid w:val="6D83004E"/>
    <w:rsid w:val="6D88443B"/>
    <w:rsid w:val="6D94194E"/>
    <w:rsid w:val="6DA058CE"/>
    <w:rsid w:val="6DA25577"/>
    <w:rsid w:val="6DA470B6"/>
    <w:rsid w:val="6DA61C93"/>
    <w:rsid w:val="6DB40C1B"/>
    <w:rsid w:val="6DB4564E"/>
    <w:rsid w:val="6DB6610C"/>
    <w:rsid w:val="6DB71BE7"/>
    <w:rsid w:val="6DB77B3C"/>
    <w:rsid w:val="6DB9200D"/>
    <w:rsid w:val="6DBC5357"/>
    <w:rsid w:val="6DBD7FCC"/>
    <w:rsid w:val="6DC71577"/>
    <w:rsid w:val="6DCD716E"/>
    <w:rsid w:val="6DCE5DC1"/>
    <w:rsid w:val="6DD01A4B"/>
    <w:rsid w:val="6DD61570"/>
    <w:rsid w:val="6DDE15EF"/>
    <w:rsid w:val="6DDF558F"/>
    <w:rsid w:val="6DE05B78"/>
    <w:rsid w:val="6DE22CE3"/>
    <w:rsid w:val="6DE546AE"/>
    <w:rsid w:val="6DF044F7"/>
    <w:rsid w:val="6DF257F7"/>
    <w:rsid w:val="6DF74F02"/>
    <w:rsid w:val="6DFC3DB8"/>
    <w:rsid w:val="6E0030A5"/>
    <w:rsid w:val="6E065842"/>
    <w:rsid w:val="6E1B5F0B"/>
    <w:rsid w:val="6E1D3EF9"/>
    <w:rsid w:val="6E226B42"/>
    <w:rsid w:val="6E2B64F5"/>
    <w:rsid w:val="6E3014A0"/>
    <w:rsid w:val="6E3652B9"/>
    <w:rsid w:val="6E3959AC"/>
    <w:rsid w:val="6E4050AA"/>
    <w:rsid w:val="6E4F6071"/>
    <w:rsid w:val="6E501104"/>
    <w:rsid w:val="6E52304F"/>
    <w:rsid w:val="6E526BF5"/>
    <w:rsid w:val="6E5B11A0"/>
    <w:rsid w:val="6E5F6E99"/>
    <w:rsid w:val="6E631DB0"/>
    <w:rsid w:val="6E6850E2"/>
    <w:rsid w:val="6E69101B"/>
    <w:rsid w:val="6E6B28E9"/>
    <w:rsid w:val="6E6E1264"/>
    <w:rsid w:val="6E7575BB"/>
    <w:rsid w:val="6E863728"/>
    <w:rsid w:val="6E88107F"/>
    <w:rsid w:val="6E8A380E"/>
    <w:rsid w:val="6E8E42CF"/>
    <w:rsid w:val="6E92637D"/>
    <w:rsid w:val="6E9B6864"/>
    <w:rsid w:val="6E9C5B43"/>
    <w:rsid w:val="6E9C7547"/>
    <w:rsid w:val="6EAC4096"/>
    <w:rsid w:val="6EAD45F2"/>
    <w:rsid w:val="6EB16D93"/>
    <w:rsid w:val="6EB51DBF"/>
    <w:rsid w:val="6EB60AF3"/>
    <w:rsid w:val="6EBD222A"/>
    <w:rsid w:val="6EC54327"/>
    <w:rsid w:val="6ED71B1E"/>
    <w:rsid w:val="6ED84AAE"/>
    <w:rsid w:val="6EDC62A4"/>
    <w:rsid w:val="6EDE1180"/>
    <w:rsid w:val="6EE67989"/>
    <w:rsid w:val="6EED125C"/>
    <w:rsid w:val="6EEF1316"/>
    <w:rsid w:val="6EF2398B"/>
    <w:rsid w:val="6EFC68F7"/>
    <w:rsid w:val="6F0A16D5"/>
    <w:rsid w:val="6F0B1008"/>
    <w:rsid w:val="6F0E0937"/>
    <w:rsid w:val="6F151204"/>
    <w:rsid w:val="6F1717C6"/>
    <w:rsid w:val="6F1B522C"/>
    <w:rsid w:val="6F2572EC"/>
    <w:rsid w:val="6F266F52"/>
    <w:rsid w:val="6F2A7686"/>
    <w:rsid w:val="6F2B7886"/>
    <w:rsid w:val="6F356528"/>
    <w:rsid w:val="6F38731F"/>
    <w:rsid w:val="6F3A31B8"/>
    <w:rsid w:val="6F3C5206"/>
    <w:rsid w:val="6F3F1DBB"/>
    <w:rsid w:val="6F3F3A37"/>
    <w:rsid w:val="6F4114B6"/>
    <w:rsid w:val="6F4271D9"/>
    <w:rsid w:val="6F435839"/>
    <w:rsid w:val="6F442B7B"/>
    <w:rsid w:val="6F475474"/>
    <w:rsid w:val="6F476843"/>
    <w:rsid w:val="6F4C41B4"/>
    <w:rsid w:val="6F4C7535"/>
    <w:rsid w:val="6F4F5F58"/>
    <w:rsid w:val="6F5042F2"/>
    <w:rsid w:val="6F541EE0"/>
    <w:rsid w:val="6F5E6991"/>
    <w:rsid w:val="6F6F6AD4"/>
    <w:rsid w:val="6F7035CC"/>
    <w:rsid w:val="6F746F94"/>
    <w:rsid w:val="6F7C11C4"/>
    <w:rsid w:val="6F7D2007"/>
    <w:rsid w:val="6F7E5CEB"/>
    <w:rsid w:val="6F7F4673"/>
    <w:rsid w:val="6F822781"/>
    <w:rsid w:val="6F866925"/>
    <w:rsid w:val="6F87646D"/>
    <w:rsid w:val="6F8C7D38"/>
    <w:rsid w:val="6F8F6BB8"/>
    <w:rsid w:val="6F900434"/>
    <w:rsid w:val="6F912177"/>
    <w:rsid w:val="6F91297D"/>
    <w:rsid w:val="6F94134E"/>
    <w:rsid w:val="6F9A5B61"/>
    <w:rsid w:val="6F9B6E34"/>
    <w:rsid w:val="6FA007CA"/>
    <w:rsid w:val="6FA77A9C"/>
    <w:rsid w:val="6FA96F23"/>
    <w:rsid w:val="6FAB7139"/>
    <w:rsid w:val="6FC10247"/>
    <w:rsid w:val="6FCA1E04"/>
    <w:rsid w:val="6FCD4AC9"/>
    <w:rsid w:val="6FD00B15"/>
    <w:rsid w:val="6FD24FC4"/>
    <w:rsid w:val="6FDE21CB"/>
    <w:rsid w:val="6FDE3DE6"/>
    <w:rsid w:val="6FF01D5C"/>
    <w:rsid w:val="6FF3008B"/>
    <w:rsid w:val="6FF763CF"/>
    <w:rsid w:val="6FFD3429"/>
    <w:rsid w:val="6FFE09D2"/>
    <w:rsid w:val="6FFF00F4"/>
    <w:rsid w:val="70083BA0"/>
    <w:rsid w:val="70136857"/>
    <w:rsid w:val="70154B17"/>
    <w:rsid w:val="701A48A6"/>
    <w:rsid w:val="702173A2"/>
    <w:rsid w:val="70266D67"/>
    <w:rsid w:val="70325FCE"/>
    <w:rsid w:val="70331241"/>
    <w:rsid w:val="703560CD"/>
    <w:rsid w:val="70356361"/>
    <w:rsid w:val="70362843"/>
    <w:rsid w:val="70387541"/>
    <w:rsid w:val="703A447D"/>
    <w:rsid w:val="703B1AAE"/>
    <w:rsid w:val="703C6073"/>
    <w:rsid w:val="70447012"/>
    <w:rsid w:val="70455234"/>
    <w:rsid w:val="70470D2C"/>
    <w:rsid w:val="704D080B"/>
    <w:rsid w:val="704D1595"/>
    <w:rsid w:val="704F1FBE"/>
    <w:rsid w:val="70547D7A"/>
    <w:rsid w:val="70572CD5"/>
    <w:rsid w:val="705E45A6"/>
    <w:rsid w:val="705E5BB2"/>
    <w:rsid w:val="705E6EBF"/>
    <w:rsid w:val="705F1411"/>
    <w:rsid w:val="706338D2"/>
    <w:rsid w:val="70637816"/>
    <w:rsid w:val="70686060"/>
    <w:rsid w:val="706D70AE"/>
    <w:rsid w:val="707705D4"/>
    <w:rsid w:val="707A5D0A"/>
    <w:rsid w:val="70802A8B"/>
    <w:rsid w:val="70805189"/>
    <w:rsid w:val="70841637"/>
    <w:rsid w:val="70902EE4"/>
    <w:rsid w:val="709274A6"/>
    <w:rsid w:val="7093246C"/>
    <w:rsid w:val="70936CB7"/>
    <w:rsid w:val="7098749D"/>
    <w:rsid w:val="70A27E96"/>
    <w:rsid w:val="70A32AF8"/>
    <w:rsid w:val="70A666D1"/>
    <w:rsid w:val="70AA7228"/>
    <w:rsid w:val="70AB083A"/>
    <w:rsid w:val="70B067C0"/>
    <w:rsid w:val="70B141C7"/>
    <w:rsid w:val="70B24CED"/>
    <w:rsid w:val="70B32D67"/>
    <w:rsid w:val="70B40734"/>
    <w:rsid w:val="70BB2F34"/>
    <w:rsid w:val="70BE3B8B"/>
    <w:rsid w:val="70BF01DD"/>
    <w:rsid w:val="70BF7084"/>
    <w:rsid w:val="70C603B1"/>
    <w:rsid w:val="70CD4B56"/>
    <w:rsid w:val="70DB31F4"/>
    <w:rsid w:val="70DE25FA"/>
    <w:rsid w:val="70DE506C"/>
    <w:rsid w:val="70E311C5"/>
    <w:rsid w:val="70F00F30"/>
    <w:rsid w:val="70F4549A"/>
    <w:rsid w:val="70F8792E"/>
    <w:rsid w:val="71033512"/>
    <w:rsid w:val="71033A6D"/>
    <w:rsid w:val="71073886"/>
    <w:rsid w:val="710A7B52"/>
    <w:rsid w:val="710D4CAE"/>
    <w:rsid w:val="710D5F11"/>
    <w:rsid w:val="710F290C"/>
    <w:rsid w:val="71121702"/>
    <w:rsid w:val="711558C1"/>
    <w:rsid w:val="71170380"/>
    <w:rsid w:val="71205B2F"/>
    <w:rsid w:val="712119E2"/>
    <w:rsid w:val="71216EF7"/>
    <w:rsid w:val="7123072A"/>
    <w:rsid w:val="712B7907"/>
    <w:rsid w:val="712F5B74"/>
    <w:rsid w:val="713136A5"/>
    <w:rsid w:val="71350262"/>
    <w:rsid w:val="713707CB"/>
    <w:rsid w:val="713C29CE"/>
    <w:rsid w:val="71421535"/>
    <w:rsid w:val="71422420"/>
    <w:rsid w:val="71502D25"/>
    <w:rsid w:val="7154382B"/>
    <w:rsid w:val="715476F2"/>
    <w:rsid w:val="715A581D"/>
    <w:rsid w:val="71600936"/>
    <w:rsid w:val="71604316"/>
    <w:rsid w:val="716C14CB"/>
    <w:rsid w:val="71800BF2"/>
    <w:rsid w:val="71993398"/>
    <w:rsid w:val="719A68DE"/>
    <w:rsid w:val="719E44BF"/>
    <w:rsid w:val="71A56D7D"/>
    <w:rsid w:val="71A7201E"/>
    <w:rsid w:val="71A76EDB"/>
    <w:rsid w:val="71AC049C"/>
    <w:rsid w:val="71AC2DBA"/>
    <w:rsid w:val="71B20380"/>
    <w:rsid w:val="71B82ABF"/>
    <w:rsid w:val="71B95824"/>
    <w:rsid w:val="71BA1628"/>
    <w:rsid w:val="71BB55F3"/>
    <w:rsid w:val="71C15974"/>
    <w:rsid w:val="71C50F06"/>
    <w:rsid w:val="71C92A23"/>
    <w:rsid w:val="71CC36DC"/>
    <w:rsid w:val="71CE4913"/>
    <w:rsid w:val="71D400E3"/>
    <w:rsid w:val="71DC50AA"/>
    <w:rsid w:val="71DE57A9"/>
    <w:rsid w:val="71DE7483"/>
    <w:rsid w:val="71E20BAA"/>
    <w:rsid w:val="71E75C78"/>
    <w:rsid w:val="71EB2035"/>
    <w:rsid w:val="71EC5623"/>
    <w:rsid w:val="71ED1A3C"/>
    <w:rsid w:val="71F1306B"/>
    <w:rsid w:val="71FA7CDD"/>
    <w:rsid w:val="71FB787E"/>
    <w:rsid w:val="71FF1EB5"/>
    <w:rsid w:val="72014AE7"/>
    <w:rsid w:val="72081CB4"/>
    <w:rsid w:val="72135DEE"/>
    <w:rsid w:val="72164331"/>
    <w:rsid w:val="721B28BA"/>
    <w:rsid w:val="722367B7"/>
    <w:rsid w:val="722C20A9"/>
    <w:rsid w:val="722D4A54"/>
    <w:rsid w:val="722E4C14"/>
    <w:rsid w:val="723019D4"/>
    <w:rsid w:val="723C7B2E"/>
    <w:rsid w:val="72432F74"/>
    <w:rsid w:val="72441CC2"/>
    <w:rsid w:val="724904FF"/>
    <w:rsid w:val="72493D51"/>
    <w:rsid w:val="724978DB"/>
    <w:rsid w:val="72523B45"/>
    <w:rsid w:val="72525F31"/>
    <w:rsid w:val="725B2049"/>
    <w:rsid w:val="725E045E"/>
    <w:rsid w:val="725F27FE"/>
    <w:rsid w:val="725F35E1"/>
    <w:rsid w:val="726066F0"/>
    <w:rsid w:val="72611EA4"/>
    <w:rsid w:val="726574D3"/>
    <w:rsid w:val="726A040D"/>
    <w:rsid w:val="726E7170"/>
    <w:rsid w:val="726F5ABF"/>
    <w:rsid w:val="726F7992"/>
    <w:rsid w:val="72707CDB"/>
    <w:rsid w:val="727203B0"/>
    <w:rsid w:val="72752226"/>
    <w:rsid w:val="72772046"/>
    <w:rsid w:val="72790695"/>
    <w:rsid w:val="7280207B"/>
    <w:rsid w:val="728126C6"/>
    <w:rsid w:val="72831662"/>
    <w:rsid w:val="728F598F"/>
    <w:rsid w:val="729055EF"/>
    <w:rsid w:val="72906C74"/>
    <w:rsid w:val="7292055D"/>
    <w:rsid w:val="72924225"/>
    <w:rsid w:val="72930BCC"/>
    <w:rsid w:val="72940F47"/>
    <w:rsid w:val="72987A74"/>
    <w:rsid w:val="729B2405"/>
    <w:rsid w:val="729B2FE0"/>
    <w:rsid w:val="72A10F8A"/>
    <w:rsid w:val="72A12B36"/>
    <w:rsid w:val="72A33683"/>
    <w:rsid w:val="72B20108"/>
    <w:rsid w:val="72B77C76"/>
    <w:rsid w:val="72BA4C43"/>
    <w:rsid w:val="72BE0CE6"/>
    <w:rsid w:val="72C03B24"/>
    <w:rsid w:val="72C10C7B"/>
    <w:rsid w:val="72C25CB3"/>
    <w:rsid w:val="72C30C50"/>
    <w:rsid w:val="72C363D3"/>
    <w:rsid w:val="72C447BC"/>
    <w:rsid w:val="72C47E63"/>
    <w:rsid w:val="72CA6AE0"/>
    <w:rsid w:val="72D02C96"/>
    <w:rsid w:val="72D24664"/>
    <w:rsid w:val="72D65A0F"/>
    <w:rsid w:val="72D92B94"/>
    <w:rsid w:val="72E27847"/>
    <w:rsid w:val="72E66016"/>
    <w:rsid w:val="72F13FDD"/>
    <w:rsid w:val="72F2022E"/>
    <w:rsid w:val="72F643D7"/>
    <w:rsid w:val="72FA45F0"/>
    <w:rsid w:val="72FE2D5C"/>
    <w:rsid w:val="72FE6594"/>
    <w:rsid w:val="72FE7A47"/>
    <w:rsid w:val="730A5704"/>
    <w:rsid w:val="730F16AD"/>
    <w:rsid w:val="7315350B"/>
    <w:rsid w:val="731E7120"/>
    <w:rsid w:val="73236896"/>
    <w:rsid w:val="73244795"/>
    <w:rsid w:val="73272B65"/>
    <w:rsid w:val="7331708F"/>
    <w:rsid w:val="73352F4B"/>
    <w:rsid w:val="733941D2"/>
    <w:rsid w:val="733F7FE8"/>
    <w:rsid w:val="734843BD"/>
    <w:rsid w:val="73486866"/>
    <w:rsid w:val="734D71B7"/>
    <w:rsid w:val="734E140C"/>
    <w:rsid w:val="7354745E"/>
    <w:rsid w:val="73574247"/>
    <w:rsid w:val="735901E8"/>
    <w:rsid w:val="73635284"/>
    <w:rsid w:val="73642D4E"/>
    <w:rsid w:val="73722B5B"/>
    <w:rsid w:val="737C0900"/>
    <w:rsid w:val="737E69C5"/>
    <w:rsid w:val="738224D7"/>
    <w:rsid w:val="73887711"/>
    <w:rsid w:val="738C2837"/>
    <w:rsid w:val="738D5519"/>
    <w:rsid w:val="738F4F62"/>
    <w:rsid w:val="73915C48"/>
    <w:rsid w:val="73916439"/>
    <w:rsid w:val="73942716"/>
    <w:rsid w:val="73986C88"/>
    <w:rsid w:val="73997330"/>
    <w:rsid w:val="73997565"/>
    <w:rsid w:val="739A1DA8"/>
    <w:rsid w:val="739D68CF"/>
    <w:rsid w:val="73A17614"/>
    <w:rsid w:val="73AF0083"/>
    <w:rsid w:val="73B34DD3"/>
    <w:rsid w:val="73B726CD"/>
    <w:rsid w:val="73C1064C"/>
    <w:rsid w:val="73C60A71"/>
    <w:rsid w:val="73C96B55"/>
    <w:rsid w:val="73CE5639"/>
    <w:rsid w:val="73CF0C01"/>
    <w:rsid w:val="73D47B3C"/>
    <w:rsid w:val="73DA06E1"/>
    <w:rsid w:val="73DB786E"/>
    <w:rsid w:val="73DB7AD4"/>
    <w:rsid w:val="73DC31E4"/>
    <w:rsid w:val="73DC6DAA"/>
    <w:rsid w:val="73DE6CC1"/>
    <w:rsid w:val="73ED2953"/>
    <w:rsid w:val="73F22921"/>
    <w:rsid w:val="74031A02"/>
    <w:rsid w:val="74031BB9"/>
    <w:rsid w:val="740466DC"/>
    <w:rsid w:val="74067871"/>
    <w:rsid w:val="740D4892"/>
    <w:rsid w:val="74115F0D"/>
    <w:rsid w:val="74133B1B"/>
    <w:rsid w:val="741431ED"/>
    <w:rsid w:val="74163D43"/>
    <w:rsid w:val="74257716"/>
    <w:rsid w:val="74270B4E"/>
    <w:rsid w:val="74286A13"/>
    <w:rsid w:val="742A357B"/>
    <w:rsid w:val="742C1234"/>
    <w:rsid w:val="742C2086"/>
    <w:rsid w:val="742C709B"/>
    <w:rsid w:val="74345C58"/>
    <w:rsid w:val="7435449A"/>
    <w:rsid w:val="74356F12"/>
    <w:rsid w:val="7435746B"/>
    <w:rsid w:val="74357E18"/>
    <w:rsid w:val="743711B5"/>
    <w:rsid w:val="743712FF"/>
    <w:rsid w:val="744315D0"/>
    <w:rsid w:val="74444138"/>
    <w:rsid w:val="744E33B2"/>
    <w:rsid w:val="746251F1"/>
    <w:rsid w:val="746340E0"/>
    <w:rsid w:val="74640DA4"/>
    <w:rsid w:val="74710E40"/>
    <w:rsid w:val="747B7AD3"/>
    <w:rsid w:val="747D7AC1"/>
    <w:rsid w:val="747F0AED"/>
    <w:rsid w:val="748248F7"/>
    <w:rsid w:val="74904C19"/>
    <w:rsid w:val="74925617"/>
    <w:rsid w:val="74933CAE"/>
    <w:rsid w:val="749A0EBA"/>
    <w:rsid w:val="74A332E8"/>
    <w:rsid w:val="74A509C7"/>
    <w:rsid w:val="74A87733"/>
    <w:rsid w:val="74AB58E2"/>
    <w:rsid w:val="74B14470"/>
    <w:rsid w:val="74B24264"/>
    <w:rsid w:val="74B5458D"/>
    <w:rsid w:val="74B87419"/>
    <w:rsid w:val="74BB5DD8"/>
    <w:rsid w:val="74BD19DE"/>
    <w:rsid w:val="74C2410C"/>
    <w:rsid w:val="74C77F8F"/>
    <w:rsid w:val="74CE1338"/>
    <w:rsid w:val="74D31F93"/>
    <w:rsid w:val="74D32F5C"/>
    <w:rsid w:val="74D63812"/>
    <w:rsid w:val="74D64406"/>
    <w:rsid w:val="74E033CC"/>
    <w:rsid w:val="74E05742"/>
    <w:rsid w:val="74ED29DF"/>
    <w:rsid w:val="74EF7A88"/>
    <w:rsid w:val="74F4003E"/>
    <w:rsid w:val="74F41B3F"/>
    <w:rsid w:val="74F50FFB"/>
    <w:rsid w:val="74F868DB"/>
    <w:rsid w:val="75023806"/>
    <w:rsid w:val="75042D00"/>
    <w:rsid w:val="750B52E1"/>
    <w:rsid w:val="75123603"/>
    <w:rsid w:val="75132BF0"/>
    <w:rsid w:val="75170168"/>
    <w:rsid w:val="75171CB7"/>
    <w:rsid w:val="75181D0C"/>
    <w:rsid w:val="75251CA6"/>
    <w:rsid w:val="75281AEC"/>
    <w:rsid w:val="752D73AB"/>
    <w:rsid w:val="75301753"/>
    <w:rsid w:val="75307886"/>
    <w:rsid w:val="753134C0"/>
    <w:rsid w:val="7532108C"/>
    <w:rsid w:val="7532556C"/>
    <w:rsid w:val="753567C4"/>
    <w:rsid w:val="75365208"/>
    <w:rsid w:val="753958B7"/>
    <w:rsid w:val="753B5BB0"/>
    <w:rsid w:val="753C4DB8"/>
    <w:rsid w:val="753C6BC5"/>
    <w:rsid w:val="75421DFC"/>
    <w:rsid w:val="75433C2C"/>
    <w:rsid w:val="7548597E"/>
    <w:rsid w:val="754C634A"/>
    <w:rsid w:val="75555E70"/>
    <w:rsid w:val="755E4985"/>
    <w:rsid w:val="755F251B"/>
    <w:rsid w:val="75653B97"/>
    <w:rsid w:val="75661527"/>
    <w:rsid w:val="756D0A3F"/>
    <w:rsid w:val="756F65C9"/>
    <w:rsid w:val="75702870"/>
    <w:rsid w:val="75787EF4"/>
    <w:rsid w:val="757C3C65"/>
    <w:rsid w:val="7587099D"/>
    <w:rsid w:val="758777A3"/>
    <w:rsid w:val="758E76C8"/>
    <w:rsid w:val="758F6DF0"/>
    <w:rsid w:val="759E030C"/>
    <w:rsid w:val="75A03F8B"/>
    <w:rsid w:val="75A06766"/>
    <w:rsid w:val="75A212D5"/>
    <w:rsid w:val="75A30B3B"/>
    <w:rsid w:val="75AE6A07"/>
    <w:rsid w:val="75BC0AB1"/>
    <w:rsid w:val="75C17683"/>
    <w:rsid w:val="75C350AF"/>
    <w:rsid w:val="75C9314B"/>
    <w:rsid w:val="75CA074E"/>
    <w:rsid w:val="75CB0B38"/>
    <w:rsid w:val="75CD7A9E"/>
    <w:rsid w:val="75D32380"/>
    <w:rsid w:val="75DF2ADE"/>
    <w:rsid w:val="75E97CBC"/>
    <w:rsid w:val="75EE00D3"/>
    <w:rsid w:val="75EE58BE"/>
    <w:rsid w:val="75EF0432"/>
    <w:rsid w:val="75F04EA5"/>
    <w:rsid w:val="75F06842"/>
    <w:rsid w:val="75F2452D"/>
    <w:rsid w:val="75FA4762"/>
    <w:rsid w:val="75FD1F7D"/>
    <w:rsid w:val="760237BA"/>
    <w:rsid w:val="760D12B7"/>
    <w:rsid w:val="760F6998"/>
    <w:rsid w:val="761749B7"/>
    <w:rsid w:val="76256F6A"/>
    <w:rsid w:val="762701BD"/>
    <w:rsid w:val="762B5ACD"/>
    <w:rsid w:val="762C381A"/>
    <w:rsid w:val="7630234F"/>
    <w:rsid w:val="76326FD1"/>
    <w:rsid w:val="76332EAC"/>
    <w:rsid w:val="7637209D"/>
    <w:rsid w:val="763B21C6"/>
    <w:rsid w:val="763B4D57"/>
    <w:rsid w:val="763B5D3F"/>
    <w:rsid w:val="76483D86"/>
    <w:rsid w:val="764B7051"/>
    <w:rsid w:val="764C266B"/>
    <w:rsid w:val="764D740C"/>
    <w:rsid w:val="765648F4"/>
    <w:rsid w:val="765A3590"/>
    <w:rsid w:val="76612D90"/>
    <w:rsid w:val="76626271"/>
    <w:rsid w:val="7666207D"/>
    <w:rsid w:val="766942BF"/>
    <w:rsid w:val="766C61CA"/>
    <w:rsid w:val="766D6607"/>
    <w:rsid w:val="76735C3C"/>
    <w:rsid w:val="76737AA9"/>
    <w:rsid w:val="767A4A88"/>
    <w:rsid w:val="767C33C4"/>
    <w:rsid w:val="767F3E1C"/>
    <w:rsid w:val="76815705"/>
    <w:rsid w:val="76854525"/>
    <w:rsid w:val="76870716"/>
    <w:rsid w:val="768973AD"/>
    <w:rsid w:val="76926B75"/>
    <w:rsid w:val="769A164A"/>
    <w:rsid w:val="769F1DC9"/>
    <w:rsid w:val="76AC671A"/>
    <w:rsid w:val="76B816B9"/>
    <w:rsid w:val="76C44652"/>
    <w:rsid w:val="76C813E0"/>
    <w:rsid w:val="76C8567E"/>
    <w:rsid w:val="76CD0AC2"/>
    <w:rsid w:val="76CD0DF0"/>
    <w:rsid w:val="76D04D73"/>
    <w:rsid w:val="76D1758E"/>
    <w:rsid w:val="76D24C22"/>
    <w:rsid w:val="76D86985"/>
    <w:rsid w:val="76E11B94"/>
    <w:rsid w:val="76E3500A"/>
    <w:rsid w:val="76EA4473"/>
    <w:rsid w:val="76F024C5"/>
    <w:rsid w:val="76F76B05"/>
    <w:rsid w:val="76F827C9"/>
    <w:rsid w:val="76F96944"/>
    <w:rsid w:val="76FA548C"/>
    <w:rsid w:val="76FC5DDE"/>
    <w:rsid w:val="76FE3C5F"/>
    <w:rsid w:val="770275D7"/>
    <w:rsid w:val="77030991"/>
    <w:rsid w:val="770501C8"/>
    <w:rsid w:val="770B2DFA"/>
    <w:rsid w:val="771528B0"/>
    <w:rsid w:val="771530F6"/>
    <w:rsid w:val="77196399"/>
    <w:rsid w:val="77202688"/>
    <w:rsid w:val="772565F0"/>
    <w:rsid w:val="7730775E"/>
    <w:rsid w:val="77334B63"/>
    <w:rsid w:val="77360801"/>
    <w:rsid w:val="77373A04"/>
    <w:rsid w:val="773960CB"/>
    <w:rsid w:val="773B38CD"/>
    <w:rsid w:val="773D3CA2"/>
    <w:rsid w:val="773F0396"/>
    <w:rsid w:val="774527B0"/>
    <w:rsid w:val="7745379C"/>
    <w:rsid w:val="77472D2E"/>
    <w:rsid w:val="77482E3E"/>
    <w:rsid w:val="774C0D39"/>
    <w:rsid w:val="774C27C9"/>
    <w:rsid w:val="774E01BC"/>
    <w:rsid w:val="774E5F06"/>
    <w:rsid w:val="77506686"/>
    <w:rsid w:val="77533618"/>
    <w:rsid w:val="77543701"/>
    <w:rsid w:val="7756014A"/>
    <w:rsid w:val="775C5437"/>
    <w:rsid w:val="775C7CEF"/>
    <w:rsid w:val="7761138A"/>
    <w:rsid w:val="77633F93"/>
    <w:rsid w:val="776B154C"/>
    <w:rsid w:val="776E3393"/>
    <w:rsid w:val="776E6311"/>
    <w:rsid w:val="7773745F"/>
    <w:rsid w:val="7777787F"/>
    <w:rsid w:val="7779075A"/>
    <w:rsid w:val="77796EEC"/>
    <w:rsid w:val="77803A45"/>
    <w:rsid w:val="77850779"/>
    <w:rsid w:val="778516FD"/>
    <w:rsid w:val="7786558A"/>
    <w:rsid w:val="7788682A"/>
    <w:rsid w:val="778B6D18"/>
    <w:rsid w:val="779112DE"/>
    <w:rsid w:val="77913AEA"/>
    <w:rsid w:val="779301B8"/>
    <w:rsid w:val="779872B1"/>
    <w:rsid w:val="779D7457"/>
    <w:rsid w:val="77A44EBD"/>
    <w:rsid w:val="77A8110F"/>
    <w:rsid w:val="77A9071F"/>
    <w:rsid w:val="77AC31AD"/>
    <w:rsid w:val="77AF3A2E"/>
    <w:rsid w:val="77B07BBA"/>
    <w:rsid w:val="77B5648C"/>
    <w:rsid w:val="77B9258D"/>
    <w:rsid w:val="77BE1DAC"/>
    <w:rsid w:val="77C257BC"/>
    <w:rsid w:val="77CE29F9"/>
    <w:rsid w:val="77D775BF"/>
    <w:rsid w:val="77D96AB5"/>
    <w:rsid w:val="77DF7CE9"/>
    <w:rsid w:val="77E22697"/>
    <w:rsid w:val="77E3405E"/>
    <w:rsid w:val="77EA35E1"/>
    <w:rsid w:val="77EB7F50"/>
    <w:rsid w:val="77EC3FBC"/>
    <w:rsid w:val="77EF5ABA"/>
    <w:rsid w:val="77F51729"/>
    <w:rsid w:val="77F72172"/>
    <w:rsid w:val="77F77EF1"/>
    <w:rsid w:val="77F9042D"/>
    <w:rsid w:val="77F94BB7"/>
    <w:rsid w:val="77FA0AD2"/>
    <w:rsid w:val="780C2F64"/>
    <w:rsid w:val="78120CA6"/>
    <w:rsid w:val="781867E2"/>
    <w:rsid w:val="78193498"/>
    <w:rsid w:val="781C3BA1"/>
    <w:rsid w:val="781C4D65"/>
    <w:rsid w:val="781C6F90"/>
    <w:rsid w:val="781D3EA2"/>
    <w:rsid w:val="781D47E8"/>
    <w:rsid w:val="781E1E00"/>
    <w:rsid w:val="781E256E"/>
    <w:rsid w:val="782E5828"/>
    <w:rsid w:val="783626E6"/>
    <w:rsid w:val="7837685E"/>
    <w:rsid w:val="78377FA9"/>
    <w:rsid w:val="783A0870"/>
    <w:rsid w:val="783B6DBD"/>
    <w:rsid w:val="783E1895"/>
    <w:rsid w:val="784620E0"/>
    <w:rsid w:val="784C0F15"/>
    <w:rsid w:val="784C463C"/>
    <w:rsid w:val="784F47D0"/>
    <w:rsid w:val="78511E20"/>
    <w:rsid w:val="78541BC8"/>
    <w:rsid w:val="785B1A6C"/>
    <w:rsid w:val="785E388F"/>
    <w:rsid w:val="785E4E83"/>
    <w:rsid w:val="785E5E13"/>
    <w:rsid w:val="78604901"/>
    <w:rsid w:val="786225A8"/>
    <w:rsid w:val="78643585"/>
    <w:rsid w:val="787016B5"/>
    <w:rsid w:val="78710197"/>
    <w:rsid w:val="787423FB"/>
    <w:rsid w:val="787448C0"/>
    <w:rsid w:val="78747102"/>
    <w:rsid w:val="787725DC"/>
    <w:rsid w:val="787F0960"/>
    <w:rsid w:val="78820E48"/>
    <w:rsid w:val="788A7F54"/>
    <w:rsid w:val="788D375A"/>
    <w:rsid w:val="788D5535"/>
    <w:rsid w:val="78901DC0"/>
    <w:rsid w:val="78903380"/>
    <w:rsid w:val="78937982"/>
    <w:rsid w:val="7897472A"/>
    <w:rsid w:val="789C1004"/>
    <w:rsid w:val="78A51294"/>
    <w:rsid w:val="78AD39E6"/>
    <w:rsid w:val="78AD74DA"/>
    <w:rsid w:val="78AE321F"/>
    <w:rsid w:val="78AF627C"/>
    <w:rsid w:val="78B234C0"/>
    <w:rsid w:val="78B305BE"/>
    <w:rsid w:val="78B372CE"/>
    <w:rsid w:val="78B44166"/>
    <w:rsid w:val="78B81CD5"/>
    <w:rsid w:val="78C126F8"/>
    <w:rsid w:val="78C15BE4"/>
    <w:rsid w:val="78C85BAF"/>
    <w:rsid w:val="78CE556C"/>
    <w:rsid w:val="78D3162E"/>
    <w:rsid w:val="78D3268E"/>
    <w:rsid w:val="78D62DFE"/>
    <w:rsid w:val="78E1483A"/>
    <w:rsid w:val="78E37682"/>
    <w:rsid w:val="78E76F00"/>
    <w:rsid w:val="78EA18B5"/>
    <w:rsid w:val="78F54B2F"/>
    <w:rsid w:val="78F62197"/>
    <w:rsid w:val="78F7221A"/>
    <w:rsid w:val="78FE053E"/>
    <w:rsid w:val="790025E2"/>
    <w:rsid w:val="790B5F0B"/>
    <w:rsid w:val="790D487D"/>
    <w:rsid w:val="790E15F5"/>
    <w:rsid w:val="79151897"/>
    <w:rsid w:val="791D46F4"/>
    <w:rsid w:val="791D48AF"/>
    <w:rsid w:val="791E741C"/>
    <w:rsid w:val="792065AB"/>
    <w:rsid w:val="7923427D"/>
    <w:rsid w:val="792D3F38"/>
    <w:rsid w:val="79307D50"/>
    <w:rsid w:val="7932362D"/>
    <w:rsid w:val="793369BB"/>
    <w:rsid w:val="793601CF"/>
    <w:rsid w:val="79376357"/>
    <w:rsid w:val="79384D4E"/>
    <w:rsid w:val="793A316F"/>
    <w:rsid w:val="793C3AEC"/>
    <w:rsid w:val="794A6436"/>
    <w:rsid w:val="79564C04"/>
    <w:rsid w:val="79590CAE"/>
    <w:rsid w:val="795A2E33"/>
    <w:rsid w:val="795E4CE6"/>
    <w:rsid w:val="795F4C9D"/>
    <w:rsid w:val="79624FD9"/>
    <w:rsid w:val="79712D4E"/>
    <w:rsid w:val="79763D1D"/>
    <w:rsid w:val="797E0968"/>
    <w:rsid w:val="797E10F3"/>
    <w:rsid w:val="797E60F7"/>
    <w:rsid w:val="79811ABB"/>
    <w:rsid w:val="798F456F"/>
    <w:rsid w:val="798F6EB8"/>
    <w:rsid w:val="799153C2"/>
    <w:rsid w:val="7991577C"/>
    <w:rsid w:val="79990155"/>
    <w:rsid w:val="799A7B72"/>
    <w:rsid w:val="799C504E"/>
    <w:rsid w:val="79A27193"/>
    <w:rsid w:val="79A65820"/>
    <w:rsid w:val="79A758AB"/>
    <w:rsid w:val="79A846F2"/>
    <w:rsid w:val="79AB776D"/>
    <w:rsid w:val="79AB7D2B"/>
    <w:rsid w:val="79AC5A81"/>
    <w:rsid w:val="79AD2084"/>
    <w:rsid w:val="79B12FF1"/>
    <w:rsid w:val="79B17407"/>
    <w:rsid w:val="79B33844"/>
    <w:rsid w:val="79B93FD8"/>
    <w:rsid w:val="79BD1DA4"/>
    <w:rsid w:val="79C435AC"/>
    <w:rsid w:val="79CC0C3A"/>
    <w:rsid w:val="79CF1755"/>
    <w:rsid w:val="79CF4BFF"/>
    <w:rsid w:val="79D16243"/>
    <w:rsid w:val="79D50F48"/>
    <w:rsid w:val="79E10255"/>
    <w:rsid w:val="79E11455"/>
    <w:rsid w:val="79E406EC"/>
    <w:rsid w:val="79E41EDC"/>
    <w:rsid w:val="79E6269B"/>
    <w:rsid w:val="79EB1CE3"/>
    <w:rsid w:val="79EE06F4"/>
    <w:rsid w:val="79F2416A"/>
    <w:rsid w:val="79F3792E"/>
    <w:rsid w:val="79F84592"/>
    <w:rsid w:val="79FE1010"/>
    <w:rsid w:val="7A0039E5"/>
    <w:rsid w:val="7A02233A"/>
    <w:rsid w:val="7A053B1A"/>
    <w:rsid w:val="7A093A4B"/>
    <w:rsid w:val="7A0B144C"/>
    <w:rsid w:val="7A1416A2"/>
    <w:rsid w:val="7A16761A"/>
    <w:rsid w:val="7A187AFA"/>
    <w:rsid w:val="7A1F7B96"/>
    <w:rsid w:val="7A211CBA"/>
    <w:rsid w:val="7A227656"/>
    <w:rsid w:val="7A2749A8"/>
    <w:rsid w:val="7A2A490F"/>
    <w:rsid w:val="7A2B6BFC"/>
    <w:rsid w:val="7A32248D"/>
    <w:rsid w:val="7A3446B9"/>
    <w:rsid w:val="7A361730"/>
    <w:rsid w:val="7A362DF3"/>
    <w:rsid w:val="7A3D1CBD"/>
    <w:rsid w:val="7A3D2123"/>
    <w:rsid w:val="7A405827"/>
    <w:rsid w:val="7A456EBC"/>
    <w:rsid w:val="7A4E066B"/>
    <w:rsid w:val="7A570F48"/>
    <w:rsid w:val="7A583305"/>
    <w:rsid w:val="7A5C3287"/>
    <w:rsid w:val="7A5D635F"/>
    <w:rsid w:val="7A5D7C0F"/>
    <w:rsid w:val="7A5E2596"/>
    <w:rsid w:val="7A690AA4"/>
    <w:rsid w:val="7A6A4C01"/>
    <w:rsid w:val="7A6D2D87"/>
    <w:rsid w:val="7A6E61D1"/>
    <w:rsid w:val="7A716384"/>
    <w:rsid w:val="7A74224C"/>
    <w:rsid w:val="7A771A92"/>
    <w:rsid w:val="7A7A419B"/>
    <w:rsid w:val="7A7C3C48"/>
    <w:rsid w:val="7A7D7F35"/>
    <w:rsid w:val="7A7E0F7C"/>
    <w:rsid w:val="7A8141B4"/>
    <w:rsid w:val="7A8608DA"/>
    <w:rsid w:val="7A866B65"/>
    <w:rsid w:val="7A8936F2"/>
    <w:rsid w:val="7A8F0F06"/>
    <w:rsid w:val="7A9D6FA9"/>
    <w:rsid w:val="7AA56371"/>
    <w:rsid w:val="7AA611AD"/>
    <w:rsid w:val="7AAC5163"/>
    <w:rsid w:val="7AAE32EE"/>
    <w:rsid w:val="7AB13982"/>
    <w:rsid w:val="7AB14302"/>
    <w:rsid w:val="7AB64B7F"/>
    <w:rsid w:val="7AB83998"/>
    <w:rsid w:val="7ABB020C"/>
    <w:rsid w:val="7AC2497D"/>
    <w:rsid w:val="7AC42F0A"/>
    <w:rsid w:val="7AC5710A"/>
    <w:rsid w:val="7AC74A32"/>
    <w:rsid w:val="7AC837B2"/>
    <w:rsid w:val="7AD17A6B"/>
    <w:rsid w:val="7AD556C6"/>
    <w:rsid w:val="7AD80B2A"/>
    <w:rsid w:val="7AD96F57"/>
    <w:rsid w:val="7ADA240E"/>
    <w:rsid w:val="7ADC1120"/>
    <w:rsid w:val="7AE3374D"/>
    <w:rsid w:val="7AE60410"/>
    <w:rsid w:val="7AE8068F"/>
    <w:rsid w:val="7AEF0F59"/>
    <w:rsid w:val="7AF34D6D"/>
    <w:rsid w:val="7AFC6C61"/>
    <w:rsid w:val="7B043257"/>
    <w:rsid w:val="7B0618AA"/>
    <w:rsid w:val="7B0C6C47"/>
    <w:rsid w:val="7B100134"/>
    <w:rsid w:val="7B140C18"/>
    <w:rsid w:val="7B1706DA"/>
    <w:rsid w:val="7B17772E"/>
    <w:rsid w:val="7B237C2D"/>
    <w:rsid w:val="7B2619BD"/>
    <w:rsid w:val="7B391E65"/>
    <w:rsid w:val="7B3A77A1"/>
    <w:rsid w:val="7B3D2232"/>
    <w:rsid w:val="7B4406CF"/>
    <w:rsid w:val="7B461F6B"/>
    <w:rsid w:val="7B472CD9"/>
    <w:rsid w:val="7B4943BE"/>
    <w:rsid w:val="7B496619"/>
    <w:rsid w:val="7B4E6C21"/>
    <w:rsid w:val="7B4F55B8"/>
    <w:rsid w:val="7B523CBA"/>
    <w:rsid w:val="7B532F9B"/>
    <w:rsid w:val="7B571D54"/>
    <w:rsid w:val="7B643FD9"/>
    <w:rsid w:val="7B687B46"/>
    <w:rsid w:val="7B695ADD"/>
    <w:rsid w:val="7B6A4BDC"/>
    <w:rsid w:val="7B6B0E01"/>
    <w:rsid w:val="7B6D1F59"/>
    <w:rsid w:val="7B6D57C8"/>
    <w:rsid w:val="7B792AA6"/>
    <w:rsid w:val="7B7A2672"/>
    <w:rsid w:val="7B7B0185"/>
    <w:rsid w:val="7B8072BD"/>
    <w:rsid w:val="7B857DFD"/>
    <w:rsid w:val="7B872BC1"/>
    <w:rsid w:val="7B8945C6"/>
    <w:rsid w:val="7B8C1FCE"/>
    <w:rsid w:val="7B992F68"/>
    <w:rsid w:val="7BA65417"/>
    <w:rsid w:val="7BAA2194"/>
    <w:rsid w:val="7BB345C7"/>
    <w:rsid w:val="7BB431BB"/>
    <w:rsid w:val="7BB500D3"/>
    <w:rsid w:val="7BB636DB"/>
    <w:rsid w:val="7BC932E9"/>
    <w:rsid w:val="7BCD6FDB"/>
    <w:rsid w:val="7BDC2553"/>
    <w:rsid w:val="7BDC6A26"/>
    <w:rsid w:val="7BDE63D8"/>
    <w:rsid w:val="7BE07191"/>
    <w:rsid w:val="7BE25949"/>
    <w:rsid w:val="7BE51DDA"/>
    <w:rsid w:val="7BE93A6B"/>
    <w:rsid w:val="7BED6ADF"/>
    <w:rsid w:val="7BEF1EAE"/>
    <w:rsid w:val="7BF148F2"/>
    <w:rsid w:val="7BF16546"/>
    <w:rsid w:val="7BF3470B"/>
    <w:rsid w:val="7BF45E85"/>
    <w:rsid w:val="7BF62672"/>
    <w:rsid w:val="7BF901C4"/>
    <w:rsid w:val="7BFB0E2E"/>
    <w:rsid w:val="7BFC356F"/>
    <w:rsid w:val="7C016337"/>
    <w:rsid w:val="7C04726C"/>
    <w:rsid w:val="7C054942"/>
    <w:rsid w:val="7C0E4095"/>
    <w:rsid w:val="7C0E793C"/>
    <w:rsid w:val="7C101654"/>
    <w:rsid w:val="7C110915"/>
    <w:rsid w:val="7C1208C1"/>
    <w:rsid w:val="7C15330B"/>
    <w:rsid w:val="7C165BEA"/>
    <w:rsid w:val="7C1667CF"/>
    <w:rsid w:val="7C2F311D"/>
    <w:rsid w:val="7C305EFA"/>
    <w:rsid w:val="7C334A84"/>
    <w:rsid w:val="7C3369FF"/>
    <w:rsid w:val="7C351903"/>
    <w:rsid w:val="7C38415D"/>
    <w:rsid w:val="7C3B0616"/>
    <w:rsid w:val="7C3E735D"/>
    <w:rsid w:val="7C3F209C"/>
    <w:rsid w:val="7C446CE4"/>
    <w:rsid w:val="7C4B3003"/>
    <w:rsid w:val="7C594232"/>
    <w:rsid w:val="7C5D4742"/>
    <w:rsid w:val="7C5E2CF4"/>
    <w:rsid w:val="7C601E4C"/>
    <w:rsid w:val="7C6026F4"/>
    <w:rsid w:val="7C626271"/>
    <w:rsid w:val="7C685003"/>
    <w:rsid w:val="7C685B0C"/>
    <w:rsid w:val="7C690301"/>
    <w:rsid w:val="7C693034"/>
    <w:rsid w:val="7C703174"/>
    <w:rsid w:val="7C7902AE"/>
    <w:rsid w:val="7C7B1F49"/>
    <w:rsid w:val="7C7C6F89"/>
    <w:rsid w:val="7C7F6948"/>
    <w:rsid w:val="7C80382D"/>
    <w:rsid w:val="7C8639E2"/>
    <w:rsid w:val="7C877E9D"/>
    <w:rsid w:val="7C905756"/>
    <w:rsid w:val="7C951CC1"/>
    <w:rsid w:val="7C952CDD"/>
    <w:rsid w:val="7C961B41"/>
    <w:rsid w:val="7C997A79"/>
    <w:rsid w:val="7C9C69DD"/>
    <w:rsid w:val="7C9F0660"/>
    <w:rsid w:val="7C9F7C7D"/>
    <w:rsid w:val="7CA16E24"/>
    <w:rsid w:val="7CA30865"/>
    <w:rsid w:val="7CA60C33"/>
    <w:rsid w:val="7CAC1629"/>
    <w:rsid w:val="7CB3209E"/>
    <w:rsid w:val="7CB35FB5"/>
    <w:rsid w:val="7CB4253C"/>
    <w:rsid w:val="7CBA0D91"/>
    <w:rsid w:val="7CBA4DC6"/>
    <w:rsid w:val="7CBB20D6"/>
    <w:rsid w:val="7CBF5809"/>
    <w:rsid w:val="7CC26C70"/>
    <w:rsid w:val="7CC34013"/>
    <w:rsid w:val="7CC90C6F"/>
    <w:rsid w:val="7CC91453"/>
    <w:rsid w:val="7CCB57A0"/>
    <w:rsid w:val="7CCF11F6"/>
    <w:rsid w:val="7CD4204E"/>
    <w:rsid w:val="7CDE12A5"/>
    <w:rsid w:val="7CDE2986"/>
    <w:rsid w:val="7CE55608"/>
    <w:rsid w:val="7CF504FB"/>
    <w:rsid w:val="7CFD0D39"/>
    <w:rsid w:val="7D02639A"/>
    <w:rsid w:val="7D046FEF"/>
    <w:rsid w:val="7D062734"/>
    <w:rsid w:val="7D0D6C1E"/>
    <w:rsid w:val="7D0F6669"/>
    <w:rsid w:val="7D1039D9"/>
    <w:rsid w:val="7D130DE6"/>
    <w:rsid w:val="7D1E27B3"/>
    <w:rsid w:val="7D1E3983"/>
    <w:rsid w:val="7D1F00CD"/>
    <w:rsid w:val="7D2029E6"/>
    <w:rsid w:val="7D211D29"/>
    <w:rsid w:val="7D217D1F"/>
    <w:rsid w:val="7D230509"/>
    <w:rsid w:val="7D2B1D99"/>
    <w:rsid w:val="7D2F69F2"/>
    <w:rsid w:val="7D3017FB"/>
    <w:rsid w:val="7D3153D7"/>
    <w:rsid w:val="7D3B35AF"/>
    <w:rsid w:val="7D4012B8"/>
    <w:rsid w:val="7D44284B"/>
    <w:rsid w:val="7D482282"/>
    <w:rsid w:val="7D57102F"/>
    <w:rsid w:val="7D5A6019"/>
    <w:rsid w:val="7D5D0F9C"/>
    <w:rsid w:val="7D630FC1"/>
    <w:rsid w:val="7D651270"/>
    <w:rsid w:val="7D6608BE"/>
    <w:rsid w:val="7D6A0582"/>
    <w:rsid w:val="7D6B57A6"/>
    <w:rsid w:val="7D717DD6"/>
    <w:rsid w:val="7D721427"/>
    <w:rsid w:val="7D766241"/>
    <w:rsid w:val="7D7E3FD4"/>
    <w:rsid w:val="7D863491"/>
    <w:rsid w:val="7D8719BA"/>
    <w:rsid w:val="7D8D6636"/>
    <w:rsid w:val="7D906B83"/>
    <w:rsid w:val="7D9B6842"/>
    <w:rsid w:val="7D9E0665"/>
    <w:rsid w:val="7D9E113D"/>
    <w:rsid w:val="7D9F4CC5"/>
    <w:rsid w:val="7DA3153F"/>
    <w:rsid w:val="7DB16A46"/>
    <w:rsid w:val="7DB357FA"/>
    <w:rsid w:val="7DB367E9"/>
    <w:rsid w:val="7DB52402"/>
    <w:rsid w:val="7DB85DFF"/>
    <w:rsid w:val="7DC878F9"/>
    <w:rsid w:val="7DCE406F"/>
    <w:rsid w:val="7DD34B2B"/>
    <w:rsid w:val="7DD40749"/>
    <w:rsid w:val="7DDA48D0"/>
    <w:rsid w:val="7DDD7A92"/>
    <w:rsid w:val="7DDF04F8"/>
    <w:rsid w:val="7DE439A5"/>
    <w:rsid w:val="7DF5511C"/>
    <w:rsid w:val="7DF66007"/>
    <w:rsid w:val="7DF756B6"/>
    <w:rsid w:val="7DFE205F"/>
    <w:rsid w:val="7E01094D"/>
    <w:rsid w:val="7E021F6E"/>
    <w:rsid w:val="7E06578B"/>
    <w:rsid w:val="7E1414EA"/>
    <w:rsid w:val="7E16020C"/>
    <w:rsid w:val="7E1745F3"/>
    <w:rsid w:val="7E1F4C2E"/>
    <w:rsid w:val="7E2925C4"/>
    <w:rsid w:val="7E2E6F29"/>
    <w:rsid w:val="7E3574B7"/>
    <w:rsid w:val="7E3613CF"/>
    <w:rsid w:val="7E3B75AA"/>
    <w:rsid w:val="7E3D04C4"/>
    <w:rsid w:val="7E4058F9"/>
    <w:rsid w:val="7E442A1C"/>
    <w:rsid w:val="7E481E1B"/>
    <w:rsid w:val="7E4D120E"/>
    <w:rsid w:val="7E6057CF"/>
    <w:rsid w:val="7E605E66"/>
    <w:rsid w:val="7E6B240C"/>
    <w:rsid w:val="7E6C77F5"/>
    <w:rsid w:val="7E7F2B02"/>
    <w:rsid w:val="7E82232F"/>
    <w:rsid w:val="7E8237A0"/>
    <w:rsid w:val="7E8D4224"/>
    <w:rsid w:val="7E917844"/>
    <w:rsid w:val="7E9D2CB8"/>
    <w:rsid w:val="7E9F193D"/>
    <w:rsid w:val="7EA05082"/>
    <w:rsid w:val="7EA518CF"/>
    <w:rsid w:val="7EB6638D"/>
    <w:rsid w:val="7EB80204"/>
    <w:rsid w:val="7EBF25CB"/>
    <w:rsid w:val="7EC01A20"/>
    <w:rsid w:val="7EC0471A"/>
    <w:rsid w:val="7EC97342"/>
    <w:rsid w:val="7ECD425E"/>
    <w:rsid w:val="7EE55ED5"/>
    <w:rsid w:val="7EE712CE"/>
    <w:rsid w:val="7EE974E0"/>
    <w:rsid w:val="7EEF0C9B"/>
    <w:rsid w:val="7EF40467"/>
    <w:rsid w:val="7F005E02"/>
    <w:rsid w:val="7F031D6D"/>
    <w:rsid w:val="7F05680C"/>
    <w:rsid w:val="7F0632F0"/>
    <w:rsid w:val="7F112CF1"/>
    <w:rsid w:val="7F1768E0"/>
    <w:rsid w:val="7F221528"/>
    <w:rsid w:val="7F2758F9"/>
    <w:rsid w:val="7F312D43"/>
    <w:rsid w:val="7F3170F5"/>
    <w:rsid w:val="7F381847"/>
    <w:rsid w:val="7F3E4821"/>
    <w:rsid w:val="7F411348"/>
    <w:rsid w:val="7F45269E"/>
    <w:rsid w:val="7F4B75D9"/>
    <w:rsid w:val="7F4C1339"/>
    <w:rsid w:val="7F5C465C"/>
    <w:rsid w:val="7F6106D1"/>
    <w:rsid w:val="7F614D6B"/>
    <w:rsid w:val="7F615B82"/>
    <w:rsid w:val="7F6A1B9D"/>
    <w:rsid w:val="7F766E68"/>
    <w:rsid w:val="7F7961C8"/>
    <w:rsid w:val="7F8120E3"/>
    <w:rsid w:val="7F8153B4"/>
    <w:rsid w:val="7F863C13"/>
    <w:rsid w:val="7F8A0609"/>
    <w:rsid w:val="7F8B04BE"/>
    <w:rsid w:val="7F8D34AD"/>
    <w:rsid w:val="7F902E57"/>
    <w:rsid w:val="7F9114F8"/>
    <w:rsid w:val="7F917268"/>
    <w:rsid w:val="7F985C88"/>
    <w:rsid w:val="7F9C5624"/>
    <w:rsid w:val="7F9D3C4D"/>
    <w:rsid w:val="7F9F3C64"/>
    <w:rsid w:val="7FA51353"/>
    <w:rsid w:val="7FA552C2"/>
    <w:rsid w:val="7FA76F26"/>
    <w:rsid w:val="7FA930C2"/>
    <w:rsid w:val="7FAA2655"/>
    <w:rsid w:val="7FAC63C5"/>
    <w:rsid w:val="7FAD0489"/>
    <w:rsid w:val="7FAD0AE2"/>
    <w:rsid w:val="7FB40C86"/>
    <w:rsid w:val="7FB76FBB"/>
    <w:rsid w:val="7FBA6919"/>
    <w:rsid w:val="7FBE3155"/>
    <w:rsid w:val="7FC1531F"/>
    <w:rsid w:val="7FC440B3"/>
    <w:rsid w:val="7FCA11D5"/>
    <w:rsid w:val="7FCB3CB6"/>
    <w:rsid w:val="7FD74F43"/>
    <w:rsid w:val="7FDB510F"/>
    <w:rsid w:val="7FDC1348"/>
    <w:rsid w:val="7FDC5C06"/>
    <w:rsid w:val="7FE80B25"/>
    <w:rsid w:val="7FE9425B"/>
    <w:rsid w:val="7FEA554D"/>
    <w:rsid w:val="7FEE326D"/>
    <w:rsid w:val="7FF05B5C"/>
    <w:rsid w:val="7FF107D2"/>
    <w:rsid w:val="7FF32003"/>
    <w:rsid w:val="7FFB4B81"/>
    <w:rsid w:val="7FFB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link w:val="22"/>
    <w:qFormat/>
    <w:uiPriority w:val="1"/>
    <w:pPr>
      <w:spacing w:before="50"/>
      <w:ind w:right="255"/>
      <w:jc w:val="center"/>
      <w:outlineLvl w:val="0"/>
    </w:pPr>
    <w:rPr>
      <w:b/>
      <w:bCs/>
      <w:sz w:val="36"/>
      <w:szCs w:val="36"/>
    </w:rPr>
  </w:style>
  <w:style w:type="paragraph" w:styleId="4">
    <w:name w:val="heading 2"/>
    <w:basedOn w:val="1"/>
    <w:next w:val="1"/>
    <w:link w:val="25"/>
    <w:qFormat/>
    <w:uiPriority w:val="1"/>
    <w:pPr>
      <w:spacing w:before="54"/>
      <w:ind w:left="231"/>
      <w:outlineLvl w:val="1"/>
    </w:pPr>
    <w:rPr>
      <w:rFonts w:ascii="黑体" w:hAnsi="黑体" w:eastAsia="黑体" w:cs="黑体"/>
      <w:sz w:val="32"/>
      <w:szCs w:val="32"/>
    </w:rPr>
  </w:style>
  <w:style w:type="paragraph" w:styleId="5">
    <w:name w:val="heading 3"/>
    <w:basedOn w:val="1"/>
    <w:next w:val="1"/>
    <w:link w:val="26"/>
    <w:qFormat/>
    <w:uiPriority w:val="1"/>
    <w:pPr>
      <w:ind w:right="257"/>
      <w:jc w:val="center"/>
      <w:outlineLvl w:val="2"/>
    </w:pPr>
    <w:rPr>
      <w:b/>
      <w:bCs/>
      <w:sz w:val="30"/>
      <w:szCs w:val="3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6">
    <w:name w:val="annotation text"/>
    <w:basedOn w:val="1"/>
    <w:link w:val="29"/>
    <w:unhideWhenUsed/>
    <w:qFormat/>
    <w:uiPriority w:val="99"/>
    <w:pPr>
      <w:widowControl/>
      <w:autoSpaceDE/>
      <w:autoSpaceDN/>
      <w:spacing w:after="11" w:line="268" w:lineRule="auto"/>
      <w:ind w:left="20" w:hanging="10"/>
    </w:pPr>
    <w:rPr>
      <w:rFonts w:ascii="华文宋体" w:hAnsi="华文宋体" w:eastAsia="华文宋体" w:cs="华文宋体"/>
      <w:color w:val="000000"/>
      <w:kern w:val="2"/>
      <w:sz w:val="24"/>
      <w:lang w:val="en-US" w:bidi="ar-SA"/>
    </w:rPr>
  </w:style>
  <w:style w:type="paragraph" w:styleId="7">
    <w:name w:val="Body Text"/>
    <w:basedOn w:val="1"/>
    <w:link w:val="27"/>
    <w:qFormat/>
    <w:uiPriority w:val="1"/>
    <w:pPr>
      <w:ind w:left="231"/>
    </w:pPr>
    <w:rPr>
      <w:sz w:val="30"/>
      <w:szCs w:val="30"/>
    </w:rPr>
  </w:style>
  <w:style w:type="paragraph" w:styleId="8">
    <w:name w:val="Balloon Text"/>
    <w:basedOn w:val="1"/>
    <w:link w:val="28"/>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96"/>
      <w:ind w:right="491"/>
      <w:jc w:val="right"/>
    </w:pPr>
    <w:rPr>
      <w:sz w:val="30"/>
      <w:szCs w:val="30"/>
    </w:rPr>
  </w:style>
  <w:style w:type="paragraph" w:styleId="12">
    <w:name w:val="toc 2"/>
    <w:basedOn w:val="1"/>
    <w:next w:val="1"/>
    <w:unhideWhenUsed/>
    <w:qFormat/>
    <w:uiPriority w:val="39"/>
    <w:pPr>
      <w:ind w:left="420" w:leftChars="200"/>
    </w:pPr>
  </w:style>
  <w:style w:type="paragraph" w:styleId="13">
    <w:name w:val="annotation subject"/>
    <w:basedOn w:val="6"/>
    <w:next w:val="6"/>
    <w:link w:val="30"/>
    <w:semiHidden/>
    <w:unhideWhenUsed/>
    <w:qFormat/>
    <w:uiPriority w:val="99"/>
    <w:pPr>
      <w:widowControl w:val="0"/>
      <w:autoSpaceDE w:val="0"/>
      <w:autoSpaceDN w:val="0"/>
      <w:spacing w:after="0" w:line="240" w:lineRule="auto"/>
      <w:ind w:left="0" w:firstLine="0"/>
    </w:pPr>
    <w:rPr>
      <w:rFonts w:ascii="仿宋" w:hAnsi="仿宋" w:eastAsia="仿宋" w:cs="仿宋"/>
      <w:b/>
      <w:bCs/>
      <w:color w:val="auto"/>
      <w:kern w:val="0"/>
      <w:sz w:val="22"/>
      <w:lang w:val="zh-CN" w:bidi="zh-CN"/>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ind w:left="231" w:firstLine="600"/>
    </w:pPr>
  </w:style>
  <w:style w:type="paragraph" w:customStyle="1" w:styleId="21">
    <w:name w:val="Table Paragraph"/>
    <w:basedOn w:val="1"/>
    <w:qFormat/>
    <w:uiPriority w:val="1"/>
  </w:style>
  <w:style w:type="character" w:customStyle="1" w:styleId="22">
    <w:name w:val="标题 1 字符"/>
    <w:basedOn w:val="16"/>
    <w:link w:val="3"/>
    <w:qFormat/>
    <w:uiPriority w:val="1"/>
    <w:rPr>
      <w:rFonts w:ascii="仿宋" w:hAnsi="仿宋" w:eastAsia="仿宋" w:cs="仿宋"/>
      <w:b/>
      <w:bCs/>
      <w:sz w:val="36"/>
      <w:szCs w:val="36"/>
      <w:lang w:val="zh-CN" w:eastAsia="zh-CN" w:bidi="zh-CN"/>
    </w:rPr>
  </w:style>
  <w:style w:type="character" w:customStyle="1" w:styleId="23">
    <w:name w:val="页眉 字符"/>
    <w:basedOn w:val="16"/>
    <w:link w:val="10"/>
    <w:qFormat/>
    <w:uiPriority w:val="99"/>
    <w:rPr>
      <w:rFonts w:ascii="仿宋" w:hAnsi="仿宋" w:eastAsia="仿宋" w:cs="仿宋"/>
      <w:sz w:val="18"/>
      <w:szCs w:val="18"/>
      <w:lang w:val="zh-CN" w:eastAsia="zh-CN" w:bidi="zh-CN"/>
    </w:rPr>
  </w:style>
  <w:style w:type="character" w:customStyle="1" w:styleId="24">
    <w:name w:val="页脚 字符"/>
    <w:basedOn w:val="16"/>
    <w:link w:val="9"/>
    <w:qFormat/>
    <w:uiPriority w:val="99"/>
    <w:rPr>
      <w:rFonts w:ascii="仿宋" w:hAnsi="仿宋" w:eastAsia="仿宋" w:cs="仿宋"/>
      <w:sz w:val="18"/>
      <w:szCs w:val="18"/>
      <w:lang w:val="zh-CN" w:eastAsia="zh-CN" w:bidi="zh-CN"/>
    </w:rPr>
  </w:style>
  <w:style w:type="character" w:customStyle="1" w:styleId="25">
    <w:name w:val="标题 2 字符"/>
    <w:basedOn w:val="16"/>
    <w:link w:val="4"/>
    <w:qFormat/>
    <w:uiPriority w:val="1"/>
    <w:rPr>
      <w:rFonts w:ascii="黑体" w:hAnsi="黑体" w:eastAsia="黑体" w:cs="黑体"/>
      <w:sz w:val="32"/>
      <w:szCs w:val="32"/>
      <w:lang w:val="zh-CN" w:eastAsia="zh-CN" w:bidi="zh-CN"/>
    </w:rPr>
  </w:style>
  <w:style w:type="character" w:customStyle="1" w:styleId="26">
    <w:name w:val="标题 3 字符"/>
    <w:basedOn w:val="16"/>
    <w:link w:val="5"/>
    <w:qFormat/>
    <w:uiPriority w:val="1"/>
    <w:rPr>
      <w:rFonts w:ascii="仿宋" w:hAnsi="仿宋" w:eastAsia="仿宋" w:cs="仿宋"/>
      <w:b/>
      <w:bCs/>
      <w:sz w:val="30"/>
      <w:szCs w:val="30"/>
      <w:lang w:val="zh-CN" w:eastAsia="zh-CN" w:bidi="zh-CN"/>
    </w:rPr>
  </w:style>
  <w:style w:type="character" w:customStyle="1" w:styleId="27">
    <w:name w:val="正文文本 字符"/>
    <w:basedOn w:val="16"/>
    <w:link w:val="7"/>
    <w:qFormat/>
    <w:uiPriority w:val="1"/>
    <w:rPr>
      <w:rFonts w:ascii="仿宋" w:hAnsi="仿宋" w:eastAsia="仿宋" w:cs="仿宋"/>
      <w:sz w:val="30"/>
      <w:szCs w:val="30"/>
      <w:lang w:val="zh-CN" w:eastAsia="zh-CN" w:bidi="zh-CN"/>
    </w:rPr>
  </w:style>
  <w:style w:type="character" w:customStyle="1" w:styleId="28">
    <w:name w:val="批注框文本 字符"/>
    <w:basedOn w:val="16"/>
    <w:link w:val="8"/>
    <w:semiHidden/>
    <w:qFormat/>
    <w:uiPriority w:val="99"/>
    <w:rPr>
      <w:rFonts w:ascii="仿宋" w:hAnsi="仿宋" w:eastAsia="仿宋" w:cs="仿宋"/>
      <w:sz w:val="18"/>
      <w:szCs w:val="18"/>
      <w:lang w:val="zh-CN" w:eastAsia="zh-CN" w:bidi="zh-CN"/>
    </w:rPr>
  </w:style>
  <w:style w:type="character" w:customStyle="1" w:styleId="29">
    <w:name w:val="批注文字 字符"/>
    <w:basedOn w:val="16"/>
    <w:link w:val="6"/>
    <w:qFormat/>
    <w:uiPriority w:val="99"/>
    <w:rPr>
      <w:rFonts w:ascii="华文宋体" w:hAnsi="华文宋体" w:eastAsia="华文宋体" w:cs="华文宋体"/>
      <w:color w:val="000000"/>
      <w:kern w:val="2"/>
      <w:sz w:val="24"/>
      <w:szCs w:val="22"/>
    </w:rPr>
  </w:style>
  <w:style w:type="character" w:customStyle="1" w:styleId="30">
    <w:name w:val="批注主题 字符"/>
    <w:basedOn w:val="29"/>
    <w:link w:val="13"/>
    <w:semiHidden/>
    <w:qFormat/>
    <w:uiPriority w:val="99"/>
    <w:rPr>
      <w:rFonts w:ascii="仿宋" w:hAnsi="仿宋" w:eastAsia="仿宋" w:cs="仿宋"/>
      <w:b/>
      <w:bCs/>
      <w:color w:val="000000"/>
      <w:kern w:val="2"/>
      <w:sz w:val="22"/>
      <w:szCs w:val="22"/>
      <w:lang w:val="zh-CN" w:bidi="zh-CN"/>
    </w:rPr>
  </w:style>
  <w:style w:type="paragraph" w:customStyle="1" w:styleId="31">
    <w:name w:val="修订1"/>
    <w:hidden/>
    <w:semiHidden/>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2534</Words>
  <Characters>14450</Characters>
  <Lines>120</Lines>
  <Paragraphs>33</Paragraphs>
  <TotalTime>15</TotalTime>
  <ScaleCrop>false</ScaleCrop>
  <LinksUpToDate>false</LinksUpToDate>
  <CharactersWithSpaces>16951</CharactersWithSpaces>
  <Application>WPS Office_11.1.0.10314_F1E327BC-269C-435d-A152-05C5408002CA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2021-08-28T02:14:00Z</dcterms:created>
  <dc:creator>Lenovo</dc:creator>
  <cp:lastModifiedBy>惬惬</cp:lastModifiedBy>
  <cp:lastPrinted>2021-09-14T02:35:00Z</cp:lastPrinted>
  <dcterms:modified xsi:type="dcterms:W3CDTF">2021-09-14T03:33:02Z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WPS 文字</vt:lpwstr>
  </property>
  <property fmtid="{D5CDD505-2E9C-101B-9397-08002B2CF9AE}" pid="4" name="LastSaved">
    <vt:filetime>2020-09-12T00:00:00Z</vt:filetime>
  </property>
  <property fmtid="{D5CDD505-2E9C-101B-9397-08002B2CF9AE}" pid="5" name="KSOProductBuildVer">
    <vt:lpwstr>2052-11.1.0.10314</vt:lpwstr>
  </property>
  <property fmtid="{D5CDD505-2E9C-101B-9397-08002B2CF9AE}" pid="6" name="ICV">
    <vt:lpwstr>A58022254D20433F85AB17A275BE99FD</vt:lpwstr>
  </property>
  <property fmtid="{D5CDD505-2E9C-101B-9397-08002B2CF9AE}" pid="7" name="ribbonExt">
    <vt:lpwstr>{"WPSExtOfficeTab":{"OnGetEnabled":false,"OnGetVisible":false}}</vt:lpwstr>
  </property>
</Properties>
</file>